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83A639" w14:textId="618BBEEA" w:rsidR="00D326AE" w:rsidRDefault="00D326AE" w:rsidP="00A82EC3">
      <w:pPr>
        <w:jc w:val="center"/>
        <w:rPr>
          <w:rFonts w:ascii="Papyrus" w:hAnsi="Papyrus"/>
          <w:sz w:val="56"/>
          <w:szCs w:val="56"/>
        </w:rPr>
      </w:pPr>
      <w:r>
        <w:rPr>
          <w:noProof/>
        </w:rPr>
        <w:drawing>
          <wp:inline distT="0" distB="0" distL="0" distR="0" wp14:anchorId="2CEEF2BB" wp14:editId="7DFBF600">
            <wp:extent cx="1479621" cy="1578634"/>
            <wp:effectExtent l="0" t="0" r="6350" b="2540"/>
            <wp:docPr id="464436980" name="Picture 1" descr="Scribe monk Black and White Stock Photos &amp; Images - Alam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ribe monk Black and White Stock Photos &amp; Images - Alamy"/>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87981" cy="1587554"/>
                    </a:xfrm>
                    <a:prstGeom prst="rect">
                      <a:avLst/>
                    </a:prstGeom>
                    <a:noFill/>
                    <a:ln>
                      <a:noFill/>
                    </a:ln>
                  </pic:spPr>
                </pic:pic>
              </a:graphicData>
            </a:graphic>
          </wp:inline>
        </w:drawing>
      </w:r>
      <w:r w:rsidR="00A82EC3">
        <w:rPr>
          <w:rFonts w:ascii="Papyrus" w:hAnsi="Papyrus"/>
          <w:sz w:val="56"/>
          <w:szCs w:val="56"/>
        </w:rPr>
        <w:t xml:space="preserve">  </w:t>
      </w:r>
      <w:r w:rsidRPr="00D326AE">
        <w:rPr>
          <w:rFonts w:ascii="Papyrus" w:hAnsi="Papyrus"/>
          <w:sz w:val="56"/>
          <w:szCs w:val="56"/>
        </w:rPr>
        <w:t>Notes from the Board</w:t>
      </w:r>
    </w:p>
    <w:p w14:paraId="71BFB5B7" w14:textId="6923377E" w:rsidR="00C24828" w:rsidRPr="00D1431D" w:rsidRDefault="00C24828" w:rsidP="00C24828">
      <w:pPr>
        <w:spacing w:before="120" w:line="240" w:lineRule="auto"/>
        <w:jc w:val="center"/>
        <w:rPr>
          <w:rFonts w:asciiTheme="minorHAnsi" w:eastAsia="Arial" w:hAnsiTheme="minorHAnsi" w:cstheme="minorHAnsi"/>
          <w:sz w:val="22"/>
          <w:szCs w:val="22"/>
        </w:rPr>
      </w:pPr>
    </w:p>
    <w:p w14:paraId="5AFED003" w14:textId="77777777" w:rsidR="00C24828" w:rsidRPr="00BE380E" w:rsidRDefault="00C24828" w:rsidP="00C24828">
      <w:pPr>
        <w:pBdr>
          <w:top w:val="single" w:sz="4" w:space="1" w:color="auto"/>
        </w:pBdr>
        <w:spacing w:before="120" w:line="240" w:lineRule="auto"/>
        <w:ind w:left="0" w:firstLine="0"/>
        <w:jc w:val="center"/>
        <w:rPr>
          <w:rFonts w:ascii="Book Antiqua" w:eastAsia="Arial" w:hAnsi="Book Antiqua" w:cstheme="minorHAnsi"/>
          <w:sz w:val="28"/>
          <w:szCs w:val="28"/>
        </w:rPr>
      </w:pPr>
      <w:r w:rsidRPr="00BE380E">
        <w:rPr>
          <w:rFonts w:ascii="Book Antiqua" w:eastAsia="Arial" w:hAnsi="Book Antiqua" w:cstheme="minorHAnsi"/>
          <w:smallCaps/>
          <w:color w:val="000000"/>
          <w:sz w:val="28"/>
          <w:szCs w:val="28"/>
        </w:rPr>
        <w:t>ICOMOS</w:t>
      </w:r>
      <w:r w:rsidRPr="00BE380E">
        <w:rPr>
          <w:rFonts w:ascii="Book Antiqua" w:eastAsia="Arial" w:hAnsi="Book Antiqua" w:cstheme="minorHAnsi"/>
          <w:color w:val="000000"/>
          <w:sz w:val="28"/>
          <w:szCs w:val="28"/>
        </w:rPr>
        <w:t xml:space="preserve"> </w:t>
      </w:r>
      <w:r w:rsidRPr="00BE380E">
        <w:rPr>
          <w:rFonts w:ascii="Book Antiqua" w:eastAsia="Arial" w:hAnsi="Book Antiqua" w:cstheme="minorHAnsi"/>
          <w:smallCaps/>
          <w:color w:val="000000"/>
          <w:sz w:val="28"/>
          <w:szCs w:val="28"/>
        </w:rPr>
        <w:t>Aotearoa New</w:t>
      </w:r>
      <w:r w:rsidRPr="00BE380E">
        <w:rPr>
          <w:rFonts w:ascii="Book Antiqua" w:eastAsia="Arial" w:hAnsi="Book Antiqua" w:cstheme="minorHAnsi"/>
          <w:color w:val="000000"/>
          <w:sz w:val="28"/>
          <w:szCs w:val="28"/>
        </w:rPr>
        <w:t xml:space="preserve"> </w:t>
      </w:r>
      <w:r w:rsidRPr="00BE380E">
        <w:rPr>
          <w:rFonts w:ascii="Book Antiqua" w:eastAsia="Arial" w:hAnsi="Book Antiqua" w:cstheme="minorHAnsi"/>
          <w:smallCaps/>
          <w:color w:val="000000"/>
          <w:sz w:val="28"/>
          <w:szCs w:val="28"/>
        </w:rPr>
        <w:t>Zealand</w:t>
      </w:r>
    </w:p>
    <w:p w14:paraId="7C7EFA39" w14:textId="77777777" w:rsidR="00C24828" w:rsidRPr="00BE380E" w:rsidRDefault="00C24828" w:rsidP="00C24828">
      <w:pPr>
        <w:spacing w:before="120" w:line="240" w:lineRule="auto"/>
        <w:ind w:left="0" w:firstLine="0"/>
        <w:jc w:val="center"/>
        <w:rPr>
          <w:rFonts w:ascii="Book Antiqua" w:eastAsia="Arial" w:hAnsi="Book Antiqua" w:cstheme="minorHAnsi"/>
          <w:smallCaps/>
          <w:sz w:val="28"/>
          <w:szCs w:val="28"/>
        </w:rPr>
      </w:pPr>
      <w:r w:rsidRPr="00BE380E">
        <w:rPr>
          <w:rFonts w:ascii="Book Antiqua" w:eastAsia="Arial" w:hAnsi="Book Antiqua" w:cstheme="minorHAnsi"/>
          <w:smallCaps/>
          <w:color w:val="000000"/>
          <w:sz w:val="28"/>
          <w:szCs w:val="28"/>
        </w:rPr>
        <w:t>Te Mana O Nga Pouwhenua O Te Ao</w:t>
      </w:r>
    </w:p>
    <w:p w14:paraId="7F76DAB7" w14:textId="77777777" w:rsidR="00C24828" w:rsidRPr="00D326AE" w:rsidRDefault="00C24828" w:rsidP="00D326AE">
      <w:pPr>
        <w:pBdr>
          <w:top w:val="single" w:sz="4" w:space="1" w:color="auto"/>
        </w:pBdr>
        <w:rPr>
          <w:rFonts w:ascii="Papyrus" w:hAnsi="Papyrus"/>
        </w:rPr>
      </w:pPr>
    </w:p>
    <w:p w14:paraId="187E8F22" w14:textId="25B23F87" w:rsidR="00EC7245" w:rsidRPr="00A82EC3" w:rsidRDefault="00BC6560" w:rsidP="00D326AE">
      <w:pPr>
        <w:jc w:val="right"/>
        <w:rPr>
          <w:rFonts w:ascii="Calibri" w:hAnsi="Calibri" w:cs="Calibri"/>
        </w:rPr>
      </w:pPr>
      <w:r>
        <w:rPr>
          <w:rFonts w:ascii="Calibri" w:hAnsi="Calibri" w:cs="Calibri"/>
        </w:rPr>
        <w:t>June</w:t>
      </w:r>
      <w:r w:rsidR="00D326AE" w:rsidRPr="00A82EC3">
        <w:rPr>
          <w:rFonts w:ascii="Calibri" w:hAnsi="Calibri" w:cs="Calibri"/>
        </w:rPr>
        <w:t xml:space="preserve"> 2026</w:t>
      </w:r>
    </w:p>
    <w:p w14:paraId="51FEA951" w14:textId="77777777" w:rsidR="00E23061" w:rsidRPr="00A82EC3" w:rsidRDefault="00E23061" w:rsidP="00CC2EB1">
      <w:pPr>
        <w:ind w:left="0" w:firstLine="0"/>
        <w:rPr>
          <w:rFonts w:ascii="Calibri" w:hAnsi="Calibri" w:cs="Calibri"/>
        </w:rPr>
      </w:pPr>
    </w:p>
    <w:p w14:paraId="35F7371B" w14:textId="0D0C2326" w:rsidR="00CC2EB1" w:rsidRDefault="00D326AE" w:rsidP="00BC6560">
      <w:pPr>
        <w:ind w:left="0" w:firstLine="0"/>
        <w:rPr>
          <w:rFonts w:ascii="Calibri" w:hAnsi="Calibri" w:cs="Calibri"/>
        </w:rPr>
      </w:pPr>
      <w:r w:rsidRPr="00A82EC3">
        <w:rPr>
          <w:rFonts w:ascii="Calibri" w:hAnsi="Calibri" w:cs="Calibri"/>
        </w:rPr>
        <w:t xml:space="preserve">The Board of ICOMOS Aotearoa met on </w:t>
      </w:r>
      <w:r w:rsidR="00BC6560">
        <w:rPr>
          <w:rFonts w:ascii="Calibri" w:hAnsi="Calibri" w:cs="Calibri"/>
        </w:rPr>
        <w:t>6 June</w:t>
      </w:r>
      <w:r w:rsidRPr="00A82EC3">
        <w:rPr>
          <w:rFonts w:ascii="Calibri" w:hAnsi="Calibri" w:cs="Calibri"/>
        </w:rPr>
        <w:t xml:space="preserve"> 2026</w:t>
      </w:r>
      <w:r w:rsidR="00CC2EB1" w:rsidRPr="00A82EC3">
        <w:rPr>
          <w:rFonts w:ascii="Calibri" w:hAnsi="Calibri" w:cs="Calibri"/>
        </w:rPr>
        <w:t xml:space="preserve">.  </w:t>
      </w:r>
    </w:p>
    <w:p w14:paraId="2498BFD7" w14:textId="4848A4A3" w:rsidR="00D21904" w:rsidRDefault="00D21904" w:rsidP="00BC6560">
      <w:pPr>
        <w:ind w:left="0" w:firstLine="0"/>
        <w:rPr>
          <w:rFonts w:ascii="Calibri" w:hAnsi="Calibri" w:cs="Calibri"/>
        </w:rPr>
      </w:pPr>
      <w:r>
        <w:rPr>
          <w:rFonts w:ascii="Calibri" w:hAnsi="Calibri" w:cs="Calibri"/>
        </w:rPr>
        <w:t>We acknowledge and celebrate two important recent appointments in the heritage space:</w:t>
      </w:r>
    </w:p>
    <w:p w14:paraId="1E8352F8" w14:textId="7C5506D4" w:rsidR="00D21904" w:rsidRDefault="00D21904" w:rsidP="00D21904">
      <w:pPr>
        <w:pStyle w:val="ListParagraph"/>
        <w:numPr>
          <w:ilvl w:val="0"/>
          <w:numId w:val="14"/>
        </w:numPr>
        <w:rPr>
          <w:rFonts w:ascii="Calibri" w:hAnsi="Calibri" w:cs="Calibri"/>
        </w:rPr>
      </w:pPr>
      <w:r>
        <w:rPr>
          <w:rFonts w:ascii="Calibri" w:hAnsi="Calibri" w:cs="Calibri"/>
        </w:rPr>
        <w:t>Dean Whiting’s appointment as Chief Executive of Heritage New Zealand Pouhere Taonga</w:t>
      </w:r>
    </w:p>
    <w:p w14:paraId="25A536B9" w14:textId="7E16F977" w:rsidR="00D21904" w:rsidRPr="00D21904" w:rsidRDefault="00D21904" w:rsidP="00D21904">
      <w:pPr>
        <w:pStyle w:val="ListParagraph"/>
        <w:numPr>
          <w:ilvl w:val="0"/>
          <w:numId w:val="14"/>
        </w:numPr>
        <w:rPr>
          <w:rFonts w:ascii="Calibri" w:hAnsi="Calibri" w:cs="Calibri"/>
        </w:rPr>
      </w:pPr>
      <w:r>
        <w:rPr>
          <w:rFonts w:ascii="Calibri" w:hAnsi="Calibri" w:cs="Calibri"/>
        </w:rPr>
        <w:t>James Blackburne’s appointment as President of the NZ Institute of Architects</w:t>
      </w:r>
    </w:p>
    <w:p w14:paraId="7C9E8DC6" w14:textId="77777777" w:rsidR="00BC6560" w:rsidRPr="00A82EC3" w:rsidRDefault="00BC6560" w:rsidP="00BC6560">
      <w:pPr>
        <w:ind w:left="0" w:firstLine="0"/>
        <w:rPr>
          <w:rFonts w:ascii="Calibri" w:hAnsi="Calibri" w:cs="Calibri"/>
        </w:rPr>
      </w:pPr>
    </w:p>
    <w:p w14:paraId="6DFD3C36" w14:textId="51A912C8" w:rsidR="00724A0E" w:rsidRPr="00A82EC3" w:rsidRDefault="00724A0E" w:rsidP="00361F4D">
      <w:pPr>
        <w:shd w:val="clear" w:color="auto" w:fill="D9D9D9" w:themeFill="background1" w:themeFillShade="D9"/>
        <w:ind w:left="0" w:firstLine="0"/>
        <w:rPr>
          <w:rFonts w:ascii="Calibri" w:hAnsi="Calibri" w:cs="Calibri"/>
          <w:b/>
          <w:bCs/>
          <w:i/>
          <w:iCs/>
          <w:sz w:val="28"/>
          <w:szCs w:val="28"/>
        </w:rPr>
      </w:pPr>
      <w:r w:rsidRPr="00A82EC3">
        <w:rPr>
          <w:rFonts w:ascii="Calibri" w:hAnsi="Calibri" w:cs="Calibri"/>
          <w:b/>
          <w:bCs/>
          <w:i/>
          <w:iCs/>
          <w:sz w:val="28"/>
          <w:szCs w:val="28"/>
        </w:rPr>
        <w:t>Highlights from the board meeting</w:t>
      </w:r>
    </w:p>
    <w:p w14:paraId="3CB7CF98" w14:textId="77777777" w:rsidR="00E01669" w:rsidRDefault="00E01669" w:rsidP="00B0154A">
      <w:pPr>
        <w:ind w:left="0" w:firstLine="0"/>
        <w:rPr>
          <w:rFonts w:ascii="Calibri" w:hAnsi="Calibri" w:cs="Calibri"/>
          <w:b/>
          <w:bCs/>
        </w:rPr>
      </w:pPr>
    </w:p>
    <w:p w14:paraId="189A631B" w14:textId="37AF8131" w:rsidR="00B0154A" w:rsidRDefault="002E0AA4" w:rsidP="00B0154A">
      <w:pPr>
        <w:ind w:left="0" w:firstLine="0"/>
        <w:rPr>
          <w:rFonts w:ascii="Calibri" w:hAnsi="Calibri" w:cs="Calibri"/>
          <w:b/>
          <w:bCs/>
        </w:rPr>
      </w:pPr>
      <w:r>
        <w:rPr>
          <w:rFonts w:ascii="Calibri" w:hAnsi="Calibri" w:cs="Calibri"/>
          <w:b/>
          <w:bCs/>
        </w:rPr>
        <w:t xml:space="preserve">ICOMOS </w:t>
      </w:r>
      <w:r w:rsidR="00D21904">
        <w:rPr>
          <w:rFonts w:ascii="Calibri" w:hAnsi="Calibri" w:cs="Calibri"/>
          <w:b/>
          <w:bCs/>
        </w:rPr>
        <w:t xml:space="preserve">Research </w:t>
      </w:r>
      <w:r>
        <w:rPr>
          <w:rFonts w:ascii="Calibri" w:hAnsi="Calibri" w:cs="Calibri"/>
          <w:b/>
          <w:bCs/>
        </w:rPr>
        <w:t>Scholar</w:t>
      </w:r>
      <w:r w:rsidR="006966B3">
        <w:rPr>
          <w:rFonts w:ascii="Calibri" w:hAnsi="Calibri" w:cs="Calibri"/>
          <w:b/>
          <w:bCs/>
        </w:rPr>
        <w:t>s</w:t>
      </w:r>
      <w:r>
        <w:rPr>
          <w:rFonts w:ascii="Calibri" w:hAnsi="Calibri" w:cs="Calibri"/>
          <w:b/>
          <w:bCs/>
        </w:rPr>
        <w:t>hips</w:t>
      </w:r>
    </w:p>
    <w:p w14:paraId="2DA07317" w14:textId="60488CBA" w:rsidR="002E0AA4" w:rsidRDefault="002E0AA4" w:rsidP="00D21904">
      <w:pPr>
        <w:ind w:left="0" w:firstLine="0"/>
        <w:jc w:val="both"/>
        <w:rPr>
          <w:rFonts w:ascii="Calibri" w:hAnsi="Calibri" w:cs="Calibri"/>
        </w:rPr>
      </w:pPr>
      <w:r w:rsidRPr="002E0AA4">
        <w:rPr>
          <w:rFonts w:ascii="Calibri" w:hAnsi="Calibri" w:cs="Calibri"/>
        </w:rPr>
        <w:t xml:space="preserve">ICOMOS ANZ </w:t>
      </w:r>
      <w:r>
        <w:rPr>
          <w:rFonts w:ascii="Calibri" w:hAnsi="Calibri" w:cs="Calibri"/>
        </w:rPr>
        <w:t>has recently funded two researchers to undertake research on topics of relevance to the heritage community.  This work is complete.</w:t>
      </w:r>
      <w:r w:rsidR="002067EE">
        <w:rPr>
          <w:rFonts w:ascii="Calibri" w:hAnsi="Calibri" w:cs="Calibri"/>
        </w:rPr>
        <w:t xml:space="preserve">  We deeply appreciate the support of Matthews and Matthews for contributing funding to these scholarships.</w:t>
      </w:r>
    </w:p>
    <w:p w14:paraId="4CE18657" w14:textId="7CCC0A37" w:rsidR="002E0AA4" w:rsidRDefault="002E0AA4" w:rsidP="00B0154A">
      <w:pPr>
        <w:ind w:left="0" w:firstLine="0"/>
        <w:rPr>
          <w:rFonts w:ascii="Calibri" w:hAnsi="Calibri" w:cs="Calibri"/>
        </w:rPr>
      </w:pPr>
      <w:r>
        <w:rPr>
          <w:rFonts w:ascii="Calibri" w:hAnsi="Calibri" w:cs="Calibri"/>
        </w:rPr>
        <w:t>The key outcomes</w:t>
      </w:r>
      <w:r w:rsidR="00592937">
        <w:rPr>
          <w:rFonts w:ascii="Calibri" w:hAnsi="Calibri" w:cs="Calibri"/>
        </w:rPr>
        <w:t xml:space="preserve"> </w:t>
      </w:r>
      <w:r>
        <w:rPr>
          <w:rFonts w:ascii="Calibri" w:hAnsi="Calibri" w:cs="Calibri"/>
        </w:rPr>
        <w:t>of each scholarship are:</w:t>
      </w:r>
    </w:p>
    <w:p w14:paraId="1F55BA51" w14:textId="30138B8C" w:rsidR="00592937" w:rsidRPr="0016014E" w:rsidRDefault="002E0AA4" w:rsidP="00592937">
      <w:pPr>
        <w:pStyle w:val="ListParagraph"/>
        <w:numPr>
          <w:ilvl w:val="0"/>
          <w:numId w:val="11"/>
        </w:numPr>
        <w:spacing w:after="160" w:line="278" w:lineRule="auto"/>
        <w:ind w:left="714" w:hanging="357"/>
        <w:contextualSpacing w:val="0"/>
        <w:rPr>
          <w:rFonts w:asciiTheme="minorHAnsi" w:eastAsia="Arial" w:hAnsiTheme="minorHAnsi" w:cstheme="minorHAnsi"/>
          <w:sz w:val="22"/>
          <w:szCs w:val="22"/>
        </w:rPr>
      </w:pPr>
      <w:r w:rsidRPr="00592937">
        <w:rPr>
          <w:rFonts w:asciiTheme="minorHAnsi" w:eastAsia="Arial" w:hAnsiTheme="minorHAnsi" w:cstheme="minorHAnsi"/>
          <w:b/>
          <w:bCs/>
          <w:sz w:val="22"/>
          <w:szCs w:val="22"/>
        </w:rPr>
        <w:t>Scholarship One:</w:t>
      </w:r>
      <w:r w:rsidR="00592937" w:rsidRPr="00D84F39">
        <w:rPr>
          <w:rFonts w:asciiTheme="minorHAnsi" w:eastAsia="Arial" w:hAnsiTheme="minorHAnsi" w:cstheme="minorHAnsi"/>
          <w:sz w:val="22"/>
          <w:szCs w:val="22"/>
        </w:rPr>
        <w:t xml:space="preserve"> </w:t>
      </w:r>
      <w:r w:rsidR="00592937" w:rsidRPr="0016014E">
        <w:rPr>
          <w:rFonts w:asciiTheme="minorHAnsi" w:eastAsia="Arial" w:hAnsiTheme="minorHAnsi" w:cstheme="minorHAnsi"/>
          <w:b/>
          <w:bCs/>
          <w:sz w:val="22"/>
          <w:szCs w:val="22"/>
        </w:rPr>
        <w:t>Heritage Protection Legislation Nationally and Internationally</w:t>
      </w:r>
    </w:p>
    <w:p w14:paraId="79E17F7A" w14:textId="36D97F28" w:rsidR="002E0AA4" w:rsidRPr="00D84F39" w:rsidRDefault="002E0AA4" w:rsidP="00592937">
      <w:pPr>
        <w:pStyle w:val="ListParagraph"/>
        <w:spacing w:after="160" w:line="278" w:lineRule="auto"/>
        <w:ind w:left="714" w:firstLine="0"/>
        <w:contextualSpacing w:val="0"/>
        <w:rPr>
          <w:rFonts w:asciiTheme="minorHAnsi" w:eastAsia="Arial" w:hAnsiTheme="minorHAnsi" w:cstheme="minorHAnsi"/>
          <w:sz w:val="22"/>
          <w:szCs w:val="22"/>
        </w:rPr>
      </w:pPr>
      <w:r w:rsidRPr="00D84F39">
        <w:rPr>
          <w:rFonts w:asciiTheme="minorHAnsi" w:eastAsia="Arial" w:hAnsiTheme="minorHAnsi" w:cstheme="minorHAnsi"/>
          <w:sz w:val="22"/>
          <w:szCs w:val="22"/>
        </w:rPr>
        <w:t>The international evidence strongly supports strengthening, not weakening, NZ's heritage protection framework. The findings of this report demonstrate that there are evidence-based pathways for reforming heritage protection in New Zealand that align with international best practice while respecting our unique context and without restricting the supply of new buildings.</w:t>
      </w:r>
    </w:p>
    <w:p w14:paraId="2576839C" w14:textId="77777777" w:rsidR="00592937" w:rsidRDefault="002E0AA4" w:rsidP="002E0AA4">
      <w:pPr>
        <w:pStyle w:val="ListParagraph"/>
        <w:numPr>
          <w:ilvl w:val="0"/>
          <w:numId w:val="11"/>
        </w:numPr>
        <w:spacing w:after="160" w:line="278" w:lineRule="auto"/>
        <w:ind w:left="714" w:hanging="357"/>
        <w:contextualSpacing w:val="0"/>
        <w:rPr>
          <w:rFonts w:asciiTheme="minorHAnsi" w:eastAsia="Arial" w:hAnsiTheme="minorHAnsi" w:cstheme="minorHAnsi"/>
          <w:sz w:val="22"/>
          <w:szCs w:val="22"/>
        </w:rPr>
      </w:pPr>
      <w:r w:rsidRPr="00592937">
        <w:rPr>
          <w:rFonts w:asciiTheme="minorHAnsi" w:eastAsia="Arial" w:hAnsiTheme="minorHAnsi" w:cstheme="minorHAnsi"/>
          <w:b/>
          <w:bCs/>
          <w:sz w:val="22"/>
          <w:szCs w:val="22"/>
        </w:rPr>
        <w:t>Scholarship Two:</w:t>
      </w:r>
      <w:r w:rsidRPr="00D84F39">
        <w:rPr>
          <w:rFonts w:asciiTheme="minorHAnsi" w:eastAsia="Arial" w:hAnsiTheme="minorHAnsi" w:cstheme="minorHAnsi"/>
          <w:sz w:val="22"/>
          <w:szCs w:val="22"/>
        </w:rPr>
        <w:t xml:space="preserve">  </w:t>
      </w:r>
      <w:r w:rsidR="00592937" w:rsidRPr="0016014E">
        <w:rPr>
          <w:rFonts w:asciiTheme="minorHAnsi" w:eastAsia="Arial" w:hAnsiTheme="minorHAnsi" w:cstheme="minorHAnsi"/>
          <w:b/>
          <w:bCs/>
          <w:sz w:val="22"/>
          <w:szCs w:val="22"/>
        </w:rPr>
        <w:t>Heritage, Economics and Sustainability</w:t>
      </w:r>
      <w:r w:rsidR="00592937" w:rsidRPr="00D84F39">
        <w:rPr>
          <w:rFonts w:asciiTheme="minorHAnsi" w:eastAsia="Arial" w:hAnsiTheme="minorHAnsi" w:cstheme="minorHAnsi"/>
          <w:sz w:val="22"/>
          <w:szCs w:val="22"/>
        </w:rPr>
        <w:t xml:space="preserve"> </w:t>
      </w:r>
    </w:p>
    <w:p w14:paraId="5AE45245" w14:textId="2911A869" w:rsidR="002E0AA4" w:rsidRPr="00D84F39" w:rsidRDefault="002E0AA4" w:rsidP="00592937">
      <w:pPr>
        <w:pStyle w:val="ListParagraph"/>
        <w:spacing w:after="160" w:line="278" w:lineRule="auto"/>
        <w:ind w:left="714" w:firstLine="0"/>
        <w:contextualSpacing w:val="0"/>
        <w:rPr>
          <w:rFonts w:asciiTheme="minorHAnsi" w:eastAsia="Arial" w:hAnsiTheme="minorHAnsi" w:cstheme="minorHAnsi"/>
          <w:sz w:val="22"/>
          <w:szCs w:val="22"/>
        </w:rPr>
      </w:pPr>
      <w:r w:rsidRPr="00D84F39">
        <w:rPr>
          <w:rFonts w:asciiTheme="minorHAnsi" w:eastAsia="Arial" w:hAnsiTheme="minorHAnsi" w:cstheme="minorHAnsi"/>
          <w:sz w:val="22"/>
          <w:szCs w:val="22"/>
        </w:rPr>
        <w:lastRenderedPageBreak/>
        <w:t>This research has established a comprehensive framework for understanding the intersection of heritage conservation, economics, and sustainability by synthesising findings from 55 references. The study identified 29 distinct criteria organised into four primary thematic areas: environmental sustainability, economic sustainability, social resilience, and seismic resilience. This systematic mapping demonstrates that heritage conservation is a vital component of global sustainable development, aligning directly with Sustainable Development Goals.</w:t>
      </w:r>
    </w:p>
    <w:p w14:paraId="36B94AB0" w14:textId="09E13880" w:rsidR="00A2267C" w:rsidRPr="00E01669" w:rsidRDefault="00E01669" w:rsidP="006966B3">
      <w:pPr>
        <w:ind w:left="0" w:firstLine="0"/>
        <w:rPr>
          <w:rFonts w:ascii="Calibri" w:hAnsi="Calibri" w:cs="Calibri"/>
        </w:rPr>
      </w:pPr>
      <w:r w:rsidRPr="00E01669">
        <w:rPr>
          <w:rFonts w:ascii="Calibri" w:hAnsi="Calibri" w:cs="Calibri"/>
        </w:rPr>
        <w:t xml:space="preserve">The detailed reports and supporting information have been </w:t>
      </w:r>
      <w:r>
        <w:rPr>
          <w:rFonts w:ascii="Calibri" w:hAnsi="Calibri" w:cs="Calibri"/>
        </w:rPr>
        <w:t xml:space="preserve">uploaded </w:t>
      </w:r>
      <w:r w:rsidRPr="00E01669">
        <w:rPr>
          <w:rFonts w:ascii="Calibri" w:hAnsi="Calibri" w:cs="Calibri"/>
        </w:rPr>
        <w:t>to the ICOMOS ANZ website</w:t>
      </w:r>
      <w:r w:rsidR="0000754E">
        <w:rPr>
          <w:rFonts w:ascii="Calibri" w:hAnsi="Calibri" w:cs="Calibri"/>
        </w:rPr>
        <w:t xml:space="preserve"> at </w:t>
      </w:r>
      <w:r w:rsidR="0000754E" w:rsidRPr="0000754E">
        <w:rPr>
          <w:rFonts w:ascii="Calibri" w:hAnsi="Calibri" w:cs="Calibri"/>
        </w:rPr>
        <w:t>https://www.icomos.org.nz/research-reports</w:t>
      </w:r>
      <w:r w:rsidRPr="00E01669">
        <w:rPr>
          <w:rFonts w:ascii="Calibri" w:hAnsi="Calibri" w:cs="Calibri"/>
        </w:rPr>
        <w:t>.</w:t>
      </w:r>
    </w:p>
    <w:p w14:paraId="3E80A22D" w14:textId="77777777" w:rsidR="002E0AA4" w:rsidRDefault="002E0AA4" w:rsidP="00B0154A">
      <w:pPr>
        <w:ind w:left="0" w:firstLine="0"/>
        <w:rPr>
          <w:rFonts w:ascii="Calibri" w:hAnsi="Calibri" w:cs="Calibri"/>
        </w:rPr>
      </w:pPr>
    </w:p>
    <w:p w14:paraId="5FEB161E" w14:textId="7F3952F4" w:rsidR="00E01669" w:rsidRPr="00E01669" w:rsidRDefault="00E01669" w:rsidP="00B0154A">
      <w:pPr>
        <w:ind w:left="0" w:firstLine="0"/>
        <w:rPr>
          <w:rFonts w:ascii="Calibri" w:hAnsi="Calibri" w:cs="Calibri"/>
          <w:b/>
          <w:bCs/>
        </w:rPr>
      </w:pPr>
      <w:r w:rsidRPr="00E01669">
        <w:rPr>
          <w:rFonts w:ascii="Calibri" w:hAnsi="Calibri" w:cs="Calibri"/>
          <w:b/>
          <w:bCs/>
        </w:rPr>
        <w:t>Reflections on the development of the 2025 ICOMOS Gunma Declaration on Heritage Ecosystems</w:t>
      </w:r>
    </w:p>
    <w:p w14:paraId="4E13E93B" w14:textId="06F34EDE" w:rsidR="00A2267C" w:rsidRDefault="00A2267C" w:rsidP="00B0154A">
      <w:pPr>
        <w:ind w:left="0" w:firstLine="0"/>
        <w:rPr>
          <w:rFonts w:ascii="Calibri" w:hAnsi="Calibri" w:cs="Calibri"/>
        </w:rPr>
      </w:pPr>
      <w:r>
        <w:rPr>
          <w:rFonts w:ascii="Calibri" w:hAnsi="Calibri" w:cs="Calibri"/>
        </w:rPr>
        <w:t>Board member Simon Kieser has authored a pa</w:t>
      </w:r>
      <w:r w:rsidR="00E01669">
        <w:rPr>
          <w:rFonts w:ascii="Calibri" w:hAnsi="Calibri" w:cs="Calibri"/>
        </w:rPr>
        <w:t>p</w:t>
      </w:r>
      <w:r>
        <w:rPr>
          <w:rFonts w:ascii="Calibri" w:hAnsi="Calibri" w:cs="Calibri"/>
        </w:rPr>
        <w:t xml:space="preserve">er </w:t>
      </w:r>
      <w:r w:rsidR="00E01669">
        <w:rPr>
          <w:rFonts w:ascii="Calibri" w:hAnsi="Calibri" w:cs="Calibri"/>
        </w:rPr>
        <w:t xml:space="preserve">in the </w:t>
      </w:r>
      <w:r w:rsidR="00E01669" w:rsidRPr="00E01669">
        <w:rPr>
          <w:rFonts w:ascii="Calibri" w:hAnsi="Calibri" w:cs="Calibri"/>
        </w:rPr>
        <w:t>International Journal of Cultural Property</w:t>
      </w:r>
      <w:r w:rsidR="00E01669">
        <w:rPr>
          <w:rFonts w:ascii="Calibri" w:hAnsi="Calibri" w:cs="Calibri"/>
        </w:rPr>
        <w:t>:</w:t>
      </w:r>
    </w:p>
    <w:p w14:paraId="5C6A55B4" w14:textId="519C30E6" w:rsidR="00E01669" w:rsidRDefault="00E01669" w:rsidP="00092183">
      <w:pPr>
        <w:ind w:left="720" w:firstLine="0"/>
        <w:rPr>
          <w:rFonts w:ascii="Calibri" w:hAnsi="Calibri" w:cs="Calibri"/>
        </w:rPr>
      </w:pPr>
      <w:r>
        <w:rPr>
          <w:rFonts w:ascii="Calibri" w:hAnsi="Calibri" w:cs="Calibri"/>
        </w:rPr>
        <w:t>Keiser, S.  2026.  “C</w:t>
      </w:r>
      <w:r w:rsidRPr="00E01669">
        <w:rPr>
          <w:rFonts w:ascii="Calibri" w:hAnsi="Calibri" w:cs="Calibri"/>
        </w:rPr>
        <w:t xml:space="preserve">ritical Reflections on the Development of the Gunma Declaration on Heritage Ecosystems: Challenges, Contradictions, and Opportunities for Indigenous Peoples.” International Journal of Cultural Property 33 (2026) </w:t>
      </w:r>
    </w:p>
    <w:p w14:paraId="2ECC53FE" w14:textId="22EC4045" w:rsidR="00E01669" w:rsidRDefault="00E01669" w:rsidP="00092183">
      <w:pPr>
        <w:ind w:left="0" w:firstLine="720"/>
        <w:rPr>
          <w:rFonts w:ascii="Calibri" w:hAnsi="Calibri" w:cs="Calibri"/>
        </w:rPr>
      </w:pPr>
      <w:r w:rsidRPr="00E01669">
        <w:rPr>
          <w:rFonts w:ascii="Calibri" w:hAnsi="Calibri" w:cs="Calibri"/>
        </w:rPr>
        <w:t>https://doi.org/10.1017/S0940739126100332.</w:t>
      </w:r>
    </w:p>
    <w:p w14:paraId="7596FE72" w14:textId="77777777" w:rsidR="00E01669" w:rsidRPr="00E01669" w:rsidRDefault="00E01669" w:rsidP="00E01669">
      <w:pPr>
        <w:ind w:left="0" w:firstLine="0"/>
        <w:rPr>
          <w:rFonts w:ascii="Calibri" w:hAnsi="Calibri" w:cs="Calibri"/>
        </w:rPr>
      </w:pPr>
    </w:p>
    <w:p w14:paraId="3CAC492F" w14:textId="16FF76FA" w:rsidR="00E01669" w:rsidRPr="00E01669" w:rsidRDefault="00E01669" w:rsidP="00D21904">
      <w:pPr>
        <w:ind w:left="0" w:firstLine="0"/>
        <w:jc w:val="both"/>
        <w:rPr>
          <w:rFonts w:ascii="Calibri" w:hAnsi="Calibri" w:cs="Calibri"/>
        </w:rPr>
      </w:pPr>
      <w:r w:rsidRPr="00E01669">
        <w:rPr>
          <w:rFonts w:ascii="Calibri" w:hAnsi="Calibri" w:cs="Calibri"/>
        </w:rPr>
        <w:t xml:space="preserve">This recently published commentary reflects on the development of the 2025 ICOMOS Gunma Declaration on Heritage Ecosystems and examines its implications for Indigenous Peoples, heritage governance, and the implementation of human rights-based approaches within the World Heritage system. </w:t>
      </w:r>
    </w:p>
    <w:p w14:paraId="38806DF6" w14:textId="77777777" w:rsidR="00E01669" w:rsidRPr="00E01669" w:rsidRDefault="00E01669" w:rsidP="00D21904">
      <w:pPr>
        <w:ind w:left="0" w:firstLine="0"/>
        <w:jc w:val="both"/>
        <w:rPr>
          <w:rFonts w:ascii="Calibri" w:hAnsi="Calibri" w:cs="Calibri"/>
        </w:rPr>
      </w:pPr>
      <w:r w:rsidRPr="00E01669">
        <w:rPr>
          <w:rFonts w:ascii="Calibri" w:hAnsi="Calibri" w:cs="Calibri"/>
        </w:rPr>
        <w:t xml:space="preserve">The article welcomes the Gunma Declaration as an important and potentially transformative development. For the first time within the World Heritage system, Indigenous Peoples, the United Nations Declaration on the Rights of Indigenous Peoples (UNDRIP), and natural heritage are explicitly recognised within discussions surrounding heritage authenticity and heritage ecosystems. The Declaration also recognises the interconnected relationships between </w:t>
      </w:r>
      <w:r w:rsidRPr="00E01669">
        <w:rPr>
          <w:rFonts w:ascii="Calibri" w:hAnsi="Calibri" w:cs="Calibri"/>
          <w:i/>
          <w:iCs/>
        </w:rPr>
        <w:t>peoples</w:t>
      </w:r>
      <w:r w:rsidRPr="00E01669">
        <w:rPr>
          <w:rFonts w:ascii="Calibri" w:hAnsi="Calibri" w:cs="Calibri"/>
        </w:rPr>
        <w:t xml:space="preserve">, culture, nature, and intangible heritage, helping to bridge longstanding divisions within global heritage governance. </w:t>
      </w:r>
    </w:p>
    <w:p w14:paraId="320740B2" w14:textId="77777777" w:rsidR="00E01669" w:rsidRPr="00E01669" w:rsidRDefault="00E01669" w:rsidP="00D21904">
      <w:pPr>
        <w:ind w:left="0" w:firstLine="0"/>
        <w:jc w:val="both"/>
        <w:rPr>
          <w:rFonts w:ascii="Calibri" w:hAnsi="Calibri" w:cs="Calibri"/>
        </w:rPr>
      </w:pPr>
      <w:r w:rsidRPr="00E01669">
        <w:rPr>
          <w:rFonts w:ascii="Calibri" w:hAnsi="Calibri" w:cs="Calibri"/>
        </w:rPr>
        <w:t xml:space="preserve">At the same time, the article highlights a number of challenges observed during the Declaration’s development process. These included the absence of Indigenous representation within the symposium drafting structures, limited early recognition of Indigenous Peoples and UNDRIP within draft texts, and broader tensions concerning Indigenous participation, recognition, and self-determination. The commentary argues that these challenges are not unique to the Gunma process but reflect wider structural issues that have characterised heritage governance frameworks for many years. </w:t>
      </w:r>
    </w:p>
    <w:p w14:paraId="7A0D0EF6" w14:textId="5B49CDB2" w:rsidR="00A2267C" w:rsidRDefault="00E01669" w:rsidP="00D21904">
      <w:pPr>
        <w:ind w:left="0" w:firstLine="0"/>
        <w:jc w:val="both"/>
        <w:rPr>
          <w:rFonts w:ascii="Calibri" w:hAnsi="Calibri" w:cs="Calibri"/>
        </w:rPr>
      </w:pPr>
      <w:r w:rsidRPr="00E01669">
        <w:rPr>
          <w:rFonts w:ascii="Calibri" w:hAnsi="Calibri" w:cs="Calibri"/>
        </w:rPr>
        <w:lastRenderedPageBreak/>
        <w:t>Several lessons emerging from the publication may be relevant to ongoing implementation of the 2023 ICOMOS General Assembly resolutions relating to Indigenous Peoples, human rights-based approaches, climate change, and participation:</w:t>
      </w:r>
    </w:p>
    <w:p w14:paraId="39A86C0B" w14:textId="77777777" w:rsidR="00E01669" w:rsidRPr="00E01669" w:rsidRDefault="00E01669" w:rsidP="00E01669">
      <w:pPr>
        <w:pStyle w:val="ListParagraph"/>
        <w:numPr>
          <w:ilvl w:val="0"/>
          <w:numId w:val="13"/>
        </w:numPr>
        <w:rPr>
          <w:rFonts w:ascii="Calibri" w:hAnsi="Calibri" w:cs="Calibri"/>
        </w:rPr>
      </w:pPr>
      <w:r w:rsidRPr="00E01669">
        <w:rPr>
          <w:rFonts w:ascii="Calibri" w:hAnsi="Calibri" w:cs="Calibri"/>
        </w:rPr>
        <w:t xml:space="preserve">Indigenous inclusion is strongest when Indigenous Peoples are involved from the outset of decision-making processes rather than consulted after key frameworks have already been developed. </w:t>
      </w:r>
    </w:p>
    <w:p w14:paraId="0D45B758" w14:textId="1394A040" w:rsidR="00E01669" w:rsidRPr="00E01669" w:rsidRDefault="00E01669" w:rsidP="00E01669">
      <w:pPr>
        <w:pStyle w:val="ListParagraph"/>
        <w:numPr>
          <w:ilvl w:val="0"/>
          <w:numId w:val="13"/>
        </w:numPr>
        <w:rPr>
          <w:rFonts w:ascii="Calibri" w:hAnsi="Calibri" w:cs="Calibri"/>
        </w:rPr>
      </w:pPr>
      <w:r w:rsidRPr="00E01669">
        <w:rPr>
          <w:rFonts w:ascii="Calibri" w:hAnsi="Calibri" w:cs="Calibri"/>
        </w:rPr>
        <w:t xml:space="preserve">Meaningful implementation requires more than formal commitments. Institutional structures, governance arrangements, and practical support mechanisms are necessary if resolutions are to translate into practice. </w:t>
      </w:r>
    </w:p>
    <w:p w14:paraId="46975A2C" w14:textId="792EC8C0" w:rsidR="00E01669" w:rsidRPr="00E01669" w:rsidRDefault="00E01669" w:rsidP="00E01669">
      <w:pPr>
        <w:pStyle w:val="ListParagraph"/>
        <w:numPr>
          <w:ilvl w:val="0"/>
          <w:numId w:val="13"/>
        </w:numPr>
        <w:rPr>
          <w:rFonts w:ascii="Calibri" w:hAnsi="Calibri" w:cs="Calibri"/>
        </w:rPr>
      </w:pPr>
      <w:r w:rsidRPr="00E01669">
        <w:rPr>
          <w:rFonts w:ascii="Calibri" w:hAnsi="Calibri" w:cs="Calibri"/>
        </w:rPr>
        <w:t xml:space="preserve">Indigenous issues should not be siloed solely within Indigenous-focused groups. Meaningful implementation requires engagement and responsibility across the wider organisation. </w:t>
      </w:r>
    </w:p>
    <w:p w14:paraId="376B3475" w14:textId="7B6CFCE9" w:rsidR="00E01669" w:rsidRPr="00E01669" w:rsidRDefault="00E01669" w:rsidP="00E01669">
      <w:pPr>
        <w:pStyle w:val="ListParagraph"/>
        <w:numPr>
          <w:ilvl w:val="0"/>
          <w:numId w:val="13"/>
        </w:numPr>
        <w:rPr>
          <w:rFonts w:ascii="Calibri" w:hAnsi="Calibri" w:cs="Calibri"/>
        </w:rPr>
      </w:pPr>
      <w:r w:rsidRPr="00E01669">
        <w:rPr>
          <w:rFonts w:ascii="Calibri" w:hAnsi="Calibri" w:cs="Calibri"/>
        </w:rPr>
        <w:t xml:space="preserve">Human rights-based approaches are strengthened when Indigenous Peoples are recognised as self-determining rights-holders rather than stakeholders alone. </w:t>
      </w:r>
    </w:p>
    <w:p w14:paraId="167B0080" w14:textId="77777777" w:rsidR="00E01669" w:rsidRPr="00E01669" w:rsidRDefault="00E01669" w:rsidP="00E01669">
      <w:pPr>
        <w:pStyle w:val="ListParagraph"/>
        <w:numPr>
          <w:ilvl w:val="0"/>
          <w:numId w:val="13"/>
        </w:numPr>
        <w:rPr>
          <w:rFonts w:ascii="Calibri" w:hAnsi="Calibri" w:cs="Calibri"/>
        </w:rPr>
      </w:pPr>
      <w:r w:rsidRPr="00E01669">
        <w:rPr>
          <w:rFonts w:ascii="Calibri" w:hAnsi="Calibri" w:cs="Calibri"/>
        </w:rPr>
        <w:t xml:space="preserve">Heritage governance frameworks benefit from recognising the interconnected relationships between peoples, culture, nature, heritage, and place. </w:t>
      </w:r>
    </w:p>
    <w:p w14:paraId="07CEF922" w14:textId="77777777" w:rsidR="00E01669" w:rsidRPr="00E01669" w:rsidRDefault="00E01669" w:rsidP="00D21904">
      <w:pPr>
        <w:ind w:left="0" w:firstLine="0"/>
        <w:jc w:val="both"/>
        <w:rPr>
          <w:rFonts w:ascii="Calibri" w:hAnsi="Calibri" w:cs="Calibri"/>
        </w:rPr>
      </w:pPr>
      <w:r w:rsidRPr="00E01669">
        <w:rPr>
          <w:rFonts w:ascii="Calibri" w:hAnsi="Calibri" w:cs="Calibri"/>
        </w:rPr>
        <w:t xml:space="preserve">The publication reinforces observations raised in the 2026 IHWG Survey Report, the 2025 Fact-Finding Report, and the 2025 Participation Plan regarding Indigenous attendance at the GA2026, highlighting the gap that can emerge between institutional commitments and practical implementation. Together, these findings suggest that the central challenge is not simply how to encourage Indigenous participation, but how institutions can demonstrate ongoing relevance, accountability, and practical support for Indigenous priorities. </w:t>
      </w:r>
    </w:p>
    <w:p w14:paraId="018A8418" w14:textId="2A383D88" w:rsidR="00E01669" w:rsidRDefault="00E01669" w:rsidP="00D21904">
      <w:pPr>
        <w:ind w:left="0" w:firstLine="0"/>
        <w:jc w:val="both"/>
        <w:rPr>
          <w:rFonts w:ascii="Calibri" w:hAnsi="Calibri" w:cs="Calibri"/>
        </w:rPr>
      </w:pPr>
      <w:r w:rsidRPr="00E01669">
        <w:rPr>
          <w:rFonts w:ascii="Calibri" w:hAnsi="Calibri" w:cs="Calibri"/>
        </w:rPr>
        <w:t>The Gunma Declaration represents an important step forward. However, its long-term significance will depend upon whether its principles are translated into governance practices, institutional reforms, and meaningful implementation pathways that advance Indigenous self-determination and participation throughout heritage governance processes.</w:t>
      </w:r>
    </w:p>
    <w:p w14:paraId="4E97C5B1" w14:textId="77777777" w:rsidR="00E01669" w:rsidRDefault="00E01669" w:rsidP="00B0154A">
      <w:pPr>
        <w:ind w:left="0" w:firstLine="0"/>
        <w:rPr>
          <w:rFonts w:ascii="Calibri" w:hAnsi="Calibri" w:cs="Calibri"/>
        </w:rPr>
      </w:pPr>
    </w:p>
    <w:p w14:paraId="78047B31" w14:textId="42B058DE" w:rsidR="00D21904" w:rsidRPr="00D21904" w:rsidRDefault="00D21904" w:rsidP="00B0154A">
      <w:pPr>
        <w:ind w:left="0" w:firstLine="0"/>
        <w:rPr>
          <w:rFonts w:ascii="Calibri" w:hAnsi="Calibri" w:cs="Calibri"/>
          <w:b/>
          <w:bCs/>
        </w:rPr>
      </w:pPr>
      <w:r>
        <w:rPr>
          <w:rFonts w:ascii="Calibri" w:hAnsi="Calibri" w:cs="Calibri"/>
          <w:b/>
          <w:bCs/>
        </w:rPr>
        <w:t xml:space="preserve">Charter </w:t>
      </w:r>
      <w:r w:rsidRPr="00D21904">
        <w:rPr>
          <w:rFonts w:ascii="Calibri" w:hAnsi="Calibri" w:cs="Calibri"/>
          <w:b/>
          <w:bCs/>
        </w:rPr>
        <w:t>Best Practice Guidelines</w:t>
      </w:r>
    </w:p>
    <w:p w14:paraId="4ED654D8" w14:textId="50BA6A67" w:rsidR="00D21904" w:rsidRDefault="00D21904" w:rsidP="00B0154A">
      <w:pPr>
        <w:ind w:left="0" w:firstLine="0"/>
        <w:rPr>
          <w:rFonts w:ascii="Calibri" w:hAnsi="Calibri" w:cs="Calibri"/>
        </w:rPr>
      </w:pPr>
      <w:r>
        <w:rPr>
          <w:rFonts w:ascii="Calibri" w:hAnsi="Calibri" w:cs="Calibri"/>
        </w:rPr>
        <w:t>The Board of ICOMOS Aotearoa New Zealand approved the first two of a series of Best Practice Guidelines to accompany and illustrate the ICOMOS New Zealand Charter.</w:t>
      </w:r>
    </w:p>
    <w:p w14:paraId="5133ABA4" w14:textId="6C4198B2" w:rsidR="00D21904" w:rsidRDefault="00D21904" w:rsidP="00B0154A">
      <w:pPr>
        <w:ind w:left="0" w:firstLine="0"/>
        <w:rPr>
          <w:rFonts w:ascii="Calibri" w:hAnsi="Calibri" w:cs="Calibri"/>
        </w:rPr>
      </w:pPr>
      <w:r>
        <w:rPr>
          <w:rFonts w:ascii="Calibri" w:hAnsi="Calibri" w:cs="Calibri"/>
        </w:rPr>
        <w:t xml:space="preserve">The first two </w:t>
      </w:r>
      <w:r w:rsidR="006B717C">
        <w:rPr>
          <w:rFonts w:ascii="Calibri" w:hAnsi="Calibri" w:cs="Calibri"/>
        </w:rPr>
        <w:t>guidelines</w:t>
      </w:r>
      <w:r>
        <w:rPr>
          <w:rFonts w:ascii="Calibri" w:hAnsi="Calibri" w:cs="Calibri"/>
        </w:rPr>
        <w:t xml:space="preserve"> are:</w:t>
      </w:r>
    </w:p>
    <w:p w14:paraId="300524A8" w14:textId="2F50FBFC" w:rsidR="006B717C" w:rsidRPr="006B717C" w:rsidRDefault="006B717C" w:rsidP="006B717C">
      <w:pPr>
        <w:pStyle w:val="ListParagraph"/>
        <w:numPr>
          <w:ilvl w:val="0"/>
          <w:numId w:val="11"/>
        </w:numPr>
        <w:rPr>
          <w:rFonts w:ascii="Calibri" w:hAnsi="Calibri" w:cs="Calibri"/>
        </w:rPr>
      </w:pPr>
      <w:r w:rsidRPr="006B717C">
        <w:rPr>
          <w:rFonts w:ascii="Calibri" w:hAnsi="Calibri" w:cs="Calibri"/>
        </w:rPr>
        <w:t>An Overview</w:t>
      </w:r>
    </w:p>
    <w:p w14:paraId="493A8F89" w14:textId="0F1FFD7B" w:rsidR="006B717C" w:rsidRPr="006B717C" w:rsidRDefault="006B717C" w:rsidP="006B717C">
      <w:pPr>
        <w:pStyle w:val="ListParagraph"/>
        <w:numPr>
          <w:ilvl w:val="0"/>
          <w:numId w:val="11"/>
        </w:numPr>
        <w:rPr>
          <w:rFonts w:ascii="Calibri" w:hAnsi="Calibri" w:cs="Calibri"/>
        </w:rPr>
      </w:pPr>
      <w:r w:rsidRPr="006B717C">
        <w:rPr>
          <w:rFonts w:ascii="Calibri" w:hAnsi="Calibri" w:cs="Calibri"/>
        </w:rPr>
        <w:t>Conservation plans</w:t>
      </w:r>
    </w:p>
    <w:p w14:paraId="5471DFC8" w14:textId="444F4E57" w:rsidR="006B717C" w:rsidRDefault="006B717C" w:rsidP="00B0154A">
      <w:pPr>
        <w:ind w:left="0" w:firstLine="0"/>
        <w:rPr>
          <w:rFonts w:ascii="Calibri" w:hAnsi="Calibri" w:cs="Calibri"/>
        </w:rPr>
      </w:pPr>
      <w:r>
        <w:rPr>
          <w:rFonts w:ascii="Calibri" w:hAnsi="Calibri" w:cs="Calibri"/>
        </w:rPr>
        <w:t xml:space="preserve">They can be downloaded from the ICOMOS ANZ website at </w:t>
      </w:r>
      <w:r w:rsidRPr="006B717C">
        <w:rPr>
          <w:rFonts w:ascii="Calibri" w:hAnsi="Calibri" w:cs="Calibri"/>
        </w:rPr>
        <w:t>https://www.icomos.org.nz/charter-best-practice-guidelines</w:t>
      </w:r>
    </w:p>
    <w:p w14:paraId="020395DE" w14:textId="77777777" w:rsidR="0000754E" w:rsidRDefault="0000754E" w:rsidP="00B0154A">
      <w:pPr>
        <w:ind w:left="0" w:firstLine="0"/>
        <w:rPr>
          <w:rFonts w:ascii="Calibri" w:hAnsi="Calibri" w:cs="Calibri"/>
        </w:rPr>
      </w:pPr>
    </w:p>
    <w:p w14:paraId="2D1FCFEE" w14:textId="77777777" w:rsidR="006B717C" w:rsidRPr="002E0AA4" w:rsidRDefault="006B717C" w:rsidP="00B0154A">
      <w:pPr>
        <w:ind w:left="0" w:firstLine="0"/>
        <w:rPr>
          <w:rFonts w:ascii="Calibri" w:hAnsi="Calibri" w:cs="Calibri"/>
        </w:rPr>
      </w:pPr>
    </w:p>
    <w:p w14:paraId="6A6CC2F1" w14:textId="0644F5AC" w:rsidR="00BE380E" w:rsidRPr="00A2267C" w:rsidRDefault="00592937" w:rsidP="00A2267C">
      <w:pPr>
        <w:shd w:val="clear" w:color="auto" w:fill="D9D9D9" w:themeFill="background1" w:themeFillShade="D9"/>
        <w:ind w:left="0" w:firstLine="0"/>
        <w:rPr>
          <w:rFonts w:ascii="Calibri" w:hAnsi="Calibri" w:cs="Calibri"/>
          <w:b/>
          <w:bCs/>
          <w:i/>
          <w:iCs/>
          <w:sz w:val="28"/>
          <w:szCs w:val="28"/>
        </w:rPr>
      </w:pPr>
      <w:r w:rsidRPr="00A2267C">
        <w:rPr>
          <w:rFonts w:ascii="Calibri" w:hAnsi="Calibri" w:cs="Calibri"/>
          <w:b/>
          <w:bCs/>
          <w:i/>
          <w:iCs/>
          <w:sz w:val="28"/>
          <w:szCs w:val="28"/>
        </w:rPr>
        <w:lastRenderedPageBreak/>
        <w:t>Heritage Funding in the Public Sector</w:t>
      </w:r>
    </w:p>
    <w:p w14:paraId="49090901" w14:textId="1E918980" w:rsidR="00592937" w:rsidRDefault="00592937" w:rsidP="00D21904">
      <w:pPr>
        <w:ind w:left="0" w:firstLine="0"/>
        <w:jc w:val="both"/>
        <w:rPr>
          <w:rFonts w:ascii="Calibri" w:hAnsi="Calibri" w:cs="Calibri"/>
        </w:rPr>
      </w:pPr>
      <w:r>
        <w:rPr>
          <w:rFonts w:ascii="Calibri" w:hAnsi="Calibri" w:cs="Calibri"/>
        </w:rPr>
        <w:t xml:space="preserve">No doubt you will have seen the recent budget was not particularly kind to heritage.  </w:t>
      </w:r>
      <w:proofErr w:type="spellStart"/>
      <w:r w:rsidRPr="00592937">
        <w:rPr>
          <w:rFonts w:ascii="Calibri" w:hAnsi="Calibri" w:cs="Calibri"/>
          <w:lang w:val="en-US"/>
        </w:rPr>
        <w:t>Manatū</w:t>
      </w:r>
      <w:proofErr w:type="spellEnd"/>
      <w:r w:rsidRPr="00592937">
        <w:rPr>
          <w:rFonts w:ascii="Calibri" w:hAnsi="Calibri" w:cs="Calibri"/>
          <w:lang w:val="en-US"/>
        </w:rPr>
        <w:t xml:space="preserve"> Taonga Ministry for Culture and Heritage</w:t>
      </w:r>
      <w:r>
        <w:rPr>
          <w:rFonts w:ascii="Calibri" w:hAnsi="Calibri" w:cs="Calibri"/>
          <w:lang w:val="en-US"/>
        </w:rPr>
        <w:t xml:space="preserve"> have prepared a summary:</w:t>
      </w:r>
    </w:p>
    <w:p w14:paraId="030728AF" w14:textId="77777777" w:rsidR="00592937" w:rsidRPr="00592937" w:rsidRDefault="00592937" w:rsidP="00D21904">
      <w:pPr>
        <w:ind w:left="0" w:firstLine="0"/>
        <w:jc w:val="both"/>
        <w:rPr>
          <w:rFonts w:ascii="Calibri" w:hAnsi="Calibri" w:cs="Calibri"/>
        </w:rPr>
      </w:pPr>
      <w:r w:rsidRPr="00592937">
        <w:rPr>
          <w:rFonts w:ascii="Calibri" w:hAnsi="Calibri" w:cs="Calibri"/>
        </w:rPr>
        <w:t>All agencies funded through Vote Arts, Culture and Heritage have a savings of two percent applied.</w:t>
      </w:r>
    </w:p>
    <w:p w14:paraId="44B0653D" w14:textId="11EBD1B3" w:rsidR="00592937" w:rsidRPr="00592937" w:rsidRDefault="00592937" w:rsidP="00592937">
      <w:pPr>
        <w:ind w:left="0" w:firstLine="0"/>
        <w:rPr>
          <w:rFonts w:ascii="Calibri" w:hAnsi="Calibri" w:cs="Calibri"/>
        </w:rPr>
      </w:pPr>
      <w:r w:rsidRPr="00592937">
        <w:rPr>
          <w:rFonts w:ascii="Calibri" w:hAnsi="Calibri" w:cs="Calibri"/>
        </w:rPr>
        <w:t>A total of $27 million over four years will be saved proportionately across all agencies.</w:t>
      </w:r>
      <w:r>
        <w:rPr>
          <w:rFonts w:ascii="Calibri" w:hAnsi="Calibri" w:cs="Calibri"/>
        </w:rPr>
        <w:t xml:space="preserve"> </w:t>
      </w:r>
    </w:p>
    <w:p w14:paraId="3E28C0AF" w14:textId="77777777" w:rsidR="00592937" w:rsidRPr="00592937" w:rsidRDefault="00592937" w:rsidP="00592937">
      <w:pPr>
        <w:ind w:left="0" w:firstLine="0"/>
        <w:rPr>
          <w:rFonts w:ascii="Calibri" w:hAnsi="Calibri" w:cs="Calibri"/>
        </w:rPr>
      </w:pPr>
      <w:r w:rsidRPr="00592937">
        <w:rPr>
          <w:rFonts w:ascii="Calibri" w:hAnsi="Calibri" w:cs="Calibri"/>
        </w:rPr>
        <w:t>Savings comes from</w:t>
      </w:r>
    </w:p>
    <w:p w14:paraId="3C74DD28" w14:textId="77777777" w:rsidR="00592937" w:rsidRPr="00592937" w:rsidRDefault="00592937" w:rsidP="00592937">
      <w:pPr>
        <w:numPr>
          <w:ilvl w:val="0"/>
          <w:numId w:val="12"/>
        </w:numPr>
        <w:rPr>
          <w:rFonts w:ascii="Calibri" w:hAnsi="Calibri" w:cs="Calibri"/>
        </w:rPr>
      </w:pPr>
      <w:r w:rsidRPr="00592937">
        <w:rPr>
          <w:rFonts w:ascii="Calibri" w:hAnsi="Calibri" w:cs="Calibri"/>
        </w:rPr>
        <w:t>NZ On Air (total of $13.8 million over four years) which includes savings for Radio New Zealand ($5.6 million over four years)</w:t>
      </w:r>
    </w:p>
    <w:p w14:paraId="6A550A5D" w14:textId="1E208954" w:rsidR="00592937" w:rsidRPr="00592937" w:rsidRDefault="00592937" w:rsidP="00592937">
      <w:pPr>
        <w:numPr>
          <w:ilvl w:val="0"/>
          <w:numId w:val="12"/>
        </w:numPr>
        <w:rPr>
          <w:rFonts w:ascii="Calibri" w:hAnsi="Calibri" w:cs="Calibri"/>
        </w:rPr>
      </w:pPr>
      <w:r w:rsidRPr="00592937">
        <w:rPr>
          <w:rFonts w:ascii="Calibri" w:hAnsi="Calibri" w:cs="Calibri"/>
        </w:rPr>
        <w:t>Te</w:t>
      </w:r>
      <w:r>
        <w:rPr>
          <w:rFonts w:ascii="Calibri" w:hAnsi="Calibri" w:cs="Calibri"/>
        </w:rPr>
        <w:t xml:space="preserve"> </w:t>
      </w:r>
      <w:r w:rsidRPr="00592937">
        <w:rPr>
          <w:rFonts w:ascii="Calibri" w:hAnsi="Calibri" w:cs="Calibri"/>
        </w:rPr>
        <w:t>Papa Tongarewa ($3.4 million over four years)</w:t>
      </w:r>
      <w:r>
        <w:rPr>
          <w:rFonts w:ascii="Calibri" w:hAnsi="Calibri" w:cs="Calibri"/>
        </w:rPr>
        <w:t xml:space="preserve"> </w:t>
      </w:r>
    </w:p>
    <w:p w14:paraId="5B7B92E3" w14:textId="1E3F728F" w:rsidR="00592937" w:rsidRPr="00592937" w:rsidRDefault="00592937" w:rsidP="00592937">
      <w:pPr>
        <w:numPr>
          <w:ilvl w:val="0"/>
          <w:numId w:val="12"/>
        </w:numPr>
        <w:rPr>
          <w:rFonts w:ascii="Calibri" w:hAnsi="Calibri" w:cs="Calibri"/>
        </w:rPr>
      </w:pPr>
      <w:proofErr w:type="spellStart"/>
      <w:r w:rsidRPr="00592937">
        <w:rPr>
          <w:rFonts w:ascii="Calibri" w:hAnsi="Calibri" w:cs="Calibri"/>
        </w:rPr>
        <w:t>Manatū</w:t>
      </w:r>
      <w:proofErr w:type="spellEnd"/>
      <w:r>
        <w:rPr>
          <w:rFonts w:ascii="Calibri" w:hAnsi="Calibri" w:cs="Calibri"/>
        </w:rPr>
        <w:t xml:space="preserve"> </w:t>
      </w:r>
      <w:r w:rsidRPr="00592937">
        <w:rPr>
          <w:rFonts w:ascii="Calibri" w:hAnsi="Calibri" w:cs="Calibri"/>
        </w:rPr>
        <w:t>Taonga Ministry for Culture and Heritage ($2 million over four years)</w:t>
      </w:r>
      <w:r>
        <w:rPr>
          <w:rFonts w:ascii="Calibri" w:hAnsi="Calibri" w:cs="Calibri"/>
        </w:rPr>
        <w:t xml:space="preserve">  </w:t>
      </w:r>
    </w:p>
    <w:p w14:paraId="2EBEE708" w14:textId="269EE2C7" w:rsidR="00592937" w:rsidRPr="00592937" w:rsidRDefault="00592937" w:rsidP="00592937">
      <w:pPr>
        <w:numPr>
          <w:ilvl w:val="0"/>
          <w:numId w:val="12"/>
        </w:numPr>
        <w:rPr>
          <w:rFonts w:ascii="Calibri" w:hAnsi="Calibri" w:cs="Calibri"/>
        </w:rPr>
      </w:pPr>
      <w:r w:rsidRPr="00592937">
        <w:rPr>
          <w:rFonts w:ascii="Calibri" w:hAnsi="Calibri" w:cs="Calibri"/>
        </w:rPr>
        <w:t>Te</w:t>
      </w:r>
      <w:r>
        <w:rPr>
          <w:rFonts w:ascii="Calibri" w:hAnsi="Calibri" w:cs="Calibri"/>
        </w:rPr>
        <w:t xml:space="preserve"> </w:t>
      </w:r>
      <w:r w:rsidRPr="00592937">
        <w:rPr>
          <w:rFonts w:ascii="Calibri" w:hAnsi="Calibri" w:cs="Calibri"/>
        </w:rPr>
        <w:t>Matatini ($1.5 million over four years)</w:t>
      </w:r>
      <w:r>
        <w:rPr>
          <w:rFonts w:ascii="Calibri" w:hAnsi="Calibri" w:cs="Calibri"/>
        </w:rPr>
        <w:t xml:space="preserve"> </w:t>
      </w:r>
    </w:p>
    <w:p w14:paraId="6CB1EC34" w14:textId="07899384" w:rsidR="00592937" w:rsidRPr="00592937" w:rsidRDefault="00592937" w:rsidP="00592937">
      <w:pPr>
        <w:numPr>
          <w:ilvl w:val="0"/>
          <w:numId w:val="12"/>
        </w:numPr>
        <w:rPr>
          <w:rFonts w:ascii="Calibri" w:hAnsi="Calibri" w:cs="Calibri"/>
        </w:rPr>
      </w:pPr>
      <w:r w:rsidRPr="00592937">
        <w:rPr>
          <w:rFonts w:ascii="Calibri" w:hAnsi="Calibri" w:cs="Calibri"/>
        </w:rPr>
        <w:t>New Zealand Symphony Orchestra ($1.4 million over four years)</w:t>
      </w:r>
      <w:r>
        <w:rPr>
          <w:rFonts w:ascii="Calibri" w:hAnsi="Calibri" w:cs="Calibri"/>
        </w:rPr>
        <w:t xml:space="preserve"> </w:t>
      </w:r>
    </w:p>
    <w:p w14:paraId="00BF7FFB" w14:textId="74078CFD" w:rsidR="00592937" w:rsidRPr="00592937" w:rsidRDefault="00592937" w:rsidP="00592937">
      <w:pPr>
        <w:numPr>
          <w:ilvl w:val="0"/>
          <w:numId w:val="12"/>
        </w:numPr>
        <w:rPr>
          <w:rFonts w:ascii="Calibri" w:hAnsi="Calibri" w:cs="Calibri"/>
        </w:rPr>
      </w:pPr>
      <w:r w:rsidRPr="00592937">
        <w:rPr>
          <w:rFonts w:ascii="Calibri" w:hAnsi="Calibri" w:cs="Calibri"/>
        </w:rPr>
        <w:t>Creative New Zealand ($1.3 million over four years)</w:t>
      </w:r>
      <w:r>
        <w:rPr>
          <w:rFonts w:ascii="Calibri" w:hAnsi="Calibri" w:cs="Calibri"/>
        </w:rPr>
        <w:t xml:space="preserve"> </w:t>
      </w:r>
    </w:p>
    <w:p w14:paraId="4D9D61AD" w14:textId="487CAFF5" w:rsidR="00592937" w:rsidRPr="00592937" w:rsidRDefault="00592937" w:rsidP="00592937">
      <w:pPr>
        <w:numPr>
          <w:ilvl w:val="0"/>
          <w:numId w:val="12"/>
        </w:numPr>
        <w:rPr>
          <w:rFonts w:ascii="Calibri" w:hAnsi="Calibri" w:cs="Calibri"/>
          <w:b/>
          <w:bCs/>
        </w:rPr>
      </w:pPr>
      <w:r w:rsidRPr="00592937">
        <w:rPr>
          <w:rFonts w:ascii="Calibri" w:hAnsi="Calibri" w:cs="Calibri"/>
          <w:b/>
          <w:bCs/>
        </w:rPr>
        <w:t xml:space="preserve">Heritage New Zealand Pouhere Taonga ($1.2 million over four years) </w:t>
      </w:r>
    </w:p>
    <w:p w14:paraId="29B90B1C" w14:textId="2E858C47" w:rsidR="00592937" w:rsidRPr="00592937" w:rsidRDefault="00592937" w:rsidP="00592937">
      <w:pPr>
        <w:numPr>
          <w:ilvl w:val="0"/>
          <w:numId w:val="12"/>
        </w:numPr>
        <w:rPr>
          <w:rFonts w:ascii="Calibri" w:hAnsi="Calibri" w:cs="Calibri"/>
        </w:rPr>
      </w:pPr>
      <w:r w:rsidRPr="00592937">
        <w:rPr>
          <w:rFonts w:ascii="Calibri" w:hAnsi="Calibri" w:cs="Calibri"/>
        </w:rPr>
        <w:t>Ngā</w:t>
      </w:r>
      <w:r>
        <w:rPr>
          <w:rFonts w:ascii="Calibri" w:hAnsi="Calibri" w:cs="Calibri"/>
        </w:rPr>
        <w:t xml:space="preserve"> </w:t>
      </w:r>
      <w:r w:rsidRPr="00592937">
        <w:rPr>
          <w:rFonts w:ascii="Calibri" w:hAnsi="Calibri" w:cs="Calibri"/>
        </w:rPr>
        <w:t>Taonga Sound and Vision ($832,000 over four years)</w:t>
      </w:r>
      <w:r>
        <w:rPr>
          <w:rFonts w:ascii="Calibri" w:hAnsi="Calibri" w:cs="Calibri"/>
        </w:rPr>
        <w:t xml:space="preserve"> </w:t>
      </w:r>
    </w:p>
    <w:p w14:paraId="3AEBE745" w14:textId="7EDA96E7" w:rsidR="00592937" w:rsidRPr="00592937" w:rsidRDefault="00592937" w:rsidP="00592937">
      <w:pPr>
        <w:numPr>
          <w:ilvl w:val="0"/>
          <w:numId w:val="12"/>
        </w:numPr>
        <w:rPr>
          <w:rFonts w:ascii="Calibri" w:hAnsi="Calibri" w:cs="Calibri"/>
        </w:rPr>
      </w:pPr>
      <w:r w:rsidRPr="00592937">
        <w:rPr>
          <w:rFonts w:ascii="Calibri" w:hAnsi="Calibri" w:cs="Calibri"/>
        </w:rPr>
        <w:t>Royal New Zealand Ballet ($568,000 over four years)</w:t>
      </w:r>
      <w:r>
        <w:rPr>
          <w:rFonts w:ascii="Calibri" w:hAnsi="Calibri" w:cs="Calibri"/>
        </w:rPr>
        <w:t xml:space="preserve"> </w:t>
      </w:r>
    </w:p>
    <w:p w14:paraId="07142174" w14:textId="6FB7AFCF" w:rsidR="00592937" w:rsidRPr="00592937" w:rsidRDefault="00592937" w:rsidP="00592937">
      <w:pPr>
        <w:numPr>
          <w:ilvl w:val="0"/>
          <w:numId w:val="12"/>
        </w:numPr>
        <w:rPr>
          <w:rFonts w:ascii="Calibri" w:hAnsi="Calibri" w:cs="Calibri"/>
        </w:rPr>
      </w:pPr>
      <w:r w:rsidRPr="00592937">
        <w:rPr>
          <w:rFonts w:ascii="Calibri" w:hAnsi="Calibri" w:cs="Calibri"/>
        </w:rPr>
        <w:t>New Zealand Film Commission ($400,000 over four years)</w:t>
      </w:r>
      <w:r>
        <w:rPr>
          <w:rFonts w:ascii="Calibri" w:hAnsi="Calibri" w:cs="Calibri"/>
        </w:rPr>
        <w:t xml:space="preserve">  </w:t>
      </w:r>
    </w:p>
    <w:p w14:paraId="2A541B62" w14:textId="64C835D2" w:rsidR="00592937" w:rsidRPr="00592937" w:rsidRDefault="00592937" w:rsidP="00592937">
      <w:pPr>
        <w:numPr>
          <w:ilvl w:val="0"/>
          <w:numId w:val="12"/>
        </w:numPr>
        <w:rPr>
          <w:rFonts w:ascii="Calibri" w:hAnsi="Calibri" w:cs="Calibri"/>
        </w:rPr>
      </w:pPr>
      <w:r w:rsidRPr="00592937">
        <w:rPr>
          <w:rFonts w:ascii="Calibri" w:hAnsi="Calibri" w:cs="Calibri"/>
        </w:rPr>
        <w:t>New Zealand Music Commission ($180,000 over four years)</w:t>
      </w:r>
      <w:r>
        <w:rPr>
          <w:rFonts w:ascii="Calibri" w:hAnsi="Calibri" w:cs="Calibri"/>
        </w:rPr>
        <w:t xml:space="preserve"> </w:t>
      </w:r>
    </w:p>
    <w:p w14:paraId="77AB59F0" w14:textId="0A342475" w:rsidR="00592937" w:rsidRPr="00592937" w:rsidRDefault="00592937" w:rsidP="00592937">
      <w:pPr>
        <w:numPr>
          <w:ilvl w:val="0"/>
          <w:numId w:val="12"/>
        </w:numPr>
        <w:rPr>
          <w:rFonts w:ascii="Calibri" w:hAnsi="Calibri" w:cs="Calibri"/>
        </w:rPr>
      </w:pPr>
      <w:r w:rsidRPr="00592937">
        <w:rPr>
          <w:rFonts w:ascii="Calibri" w:hAnsi="Calibri" w:cs="Calibri"/>
        </w:rPr>
        <w:t>Antarctic Heritage Trust ($124,000 over four years)</w:t>
      </w:r>
      <w:r>
        <w:rPr>
          <w:rFonts w:ascii="Calibri" w:hAnsi="Calibri" w:cs="Calibri"/>
        </w:rPr>
        <w:t xml:space="preserve"> </w:t>
      </w:r>
    </w:p>
    <w:p w14:paraId="03A63624" w14:textId="4E82ACB8" w:rsidR="00592937" w:rsidRPr="00592937" w:rsidRDefault="00592937" w:rsidP="00592937">
      <w:pPr>
        <w:numPr>
          <w:ilvl w:val="0"/>
          <w:numId w:val="12"/>
        </w:numPr>
        <w:rPr>
          <w:rFonts w:ascii="Calibri" w:hAnsi="Calibri" w:cs="Calibri"/>
        </w:rPr>
      </w:pPr>
      <w:r w:rsidRPr="00592937">
        <w:rPr>
          <w:rFonts w:ascii="Calibri" w:hAnsi="Calibri" w:cs="Calibri"/>
        </w:rPr>
        <w:t>Broadcasting Standards Authority ($80,000 over four years)</w:t>
      </w:r>
      <w:r>
        <w:rPr>
          <w:rFonts w:ascii="Calibri" w:hAnsi="Calibri" w:cs="Calibri"/>
        </w:rPr>
        <w:t xml:space="preserve"> </w:t>
      </w:r>
    </w:p>
    <w:p w14:paraId="5ABBF4CF" w14:textId="338D94F0" w:rsidR="00592937" w:rsidRDefault="00592937" w:rsidP="00361F4D">
      <w:pPr>
        <w:ind w:left="0" w:firstLine="0"/>
        <w:rPr>
          <w:rFonts w:ascii="Calibri" w:hAnsi="Calibri" w:cs="Calibri"/>
        </w:rPr>
      </w:pPr>
    </w:p>
    <w:p w14:paraId="35421D3A" w14:textId="77777777" w:rsidR="0000754E" w:rsidRDefault="0000754E" w:rsidP="00361F4D">
      <w:pPr>
        <w:ind w:left="0" w:firstLine="0"/>
        <w:rPr>
          <w:rFonts w:ascii="Calibri" w:hAnsi="Calibri" w:cs="Calibri"/>
        </w:rPr>
      </w:pPr>
    </w:p>
    <w:p w14:paraId="6908AF8E" w14:textId="77777777" w:rsidR="006966B3" w:rsidRPr="00A2267C" w:rsidRDefault="006966B3" w:rsidP="00A2267C">
      <w:pPr>
        <w:shd w:val="clear" w:color="auto" w:fill="D9D9D9" w:themeFill="background1" w:themeFillShade="D9"/>
        <w:ind w:left="0" w:firstLine="0"/>
        <w:rPr>
          <w:rFonts w:ascii="Calibri" w:hAnsi="Calibri" w:cs="Calibri"/>
          <w:b/>
          <w:bCs/>
          <w:i/>
          <w:iCs/>
          <w:sz w:val="28"/>
          <w:szCs w:val="28"/>
        </w:rPr>
      </w:pPr>
      <w:r w:rsidRPr="00A2267C">
        <w:rPr>
          <w:rFonts w:ascii="Calibri" w:hAnsi="Calibri" w:cs="Calibri"/>
          <w:b/>
          <w:bCs/>
          <w:i/>
          <w:iCs/>
          <w:sz w:val="28"/>
          <w:szCs w:val="28"/>
        </w:rPr>
        <w:t>New investigations into heritage and housing rules</w:t>
      </w:r>
    </w:p>
    <w:p w14:paraId="26EC82D6" w14:textId="6AFDBF48" w:rsidR="006966B3" w:rsidRDefault="006966B3" w:rsidP="00361F4D">
      <w:pPr>
        <w:ind w:left="0" w:firstLine="0"/>
        <w:rPr>
          <w:rFonts w:ascii="Calibri" w:hAnsi="Calibri" w:cs="Calibri"/>
        </w:rPr>
      </w:pPr>
      <w:r>
        <w:rPr>
          <w:rFonts w:ascii="Calibri" w:hAnsi="Calibri" w:cs="Calibri"/>
        </w:rPr>
        <w:t>Minister Chris Bishop has announced a</w:t>
      </w:r>
      <w:r w:rsidRPr="006966B3">
        <w:rPr>
          <w:rFonts w:ascii="Calibri" w:hAnsi="Calibri" w:cs="Calibri"/>
        </w:rPr>
        <w:t>n investigation into whether council planning rules in Wellington and Hamilton are getting in the way of new homes and economic growth</w:t>
      </w:r>
    </w:p>
    <w:p w14:paraId="4E1F2C09" w14:textId="601C4DDA" w:rsidR="006966B3" w:rsidRDefault="006966B3" w:rsidP="00361F4D">
      <w:pPr>
        <w:ind w:left="0" w:firstLine="0"/>
        <w:rPr>
          <w:rFonts w:ascii="Calibri" w:hAnsi="Calibri" w:cs="Calibri"/>
        </w:rPr>
      </w:pPr>
      <w:r w:rsidRPr="006966B3">
        <w:rPr>
          <w:rFonts w:ascii="Calibri" w:hAnsi="Calibri" w:cs="Calibri"/>
        </w:rPr>
        <w:t>https://www.beehive.govt.nz/release/new-investigations-heritage-and-housing-rules</w:t>
      </w:r>
    </w:p>
    <w:p w14:paraId="4EFCD70F" w14:textId="77777777" w:rsidR="006966B3" w:rsidRDefault="006966B3" w:rsidP="00361F4D">
      <w:pPr>
        <w:ind w:left="0" w:firstLine="0"/>
        <w:rPr>
          <w:rFonts w:ascii="Calibri" w:hAnsi="Calibri" w:cs="Calibri"/>
        </w:rPr>
      </w:pPr>
    </w:p>
    <w:p w14:paraId="30632973" w14:textId="77777777" w:rsidR="0000754E" w:rsidRPr="00592937" w:rsidRDefault="0000754E" w:rsidP="00361F4D">
      <w:pPr>
        <w:ind w:left="0" w:firstLine="0"/>
        <w:rPr>
          <w:rFonts w:ascii="Calibri" w:hAnsi="Calibri" w:cs="Calibri"/>
        </w:rPr>
      </w:pPr>
    </w:p>
    <w:p w14:paraId="540D9C98" w14:textId="241F9390" w:rsidR="00361F4D" w:rsidRPr="00A2267C" w:rsidRDefault="00361F4D" w:rsidP="00A2267C">
      <w:pPr>
        <w:shd w:val="clear" w:color="auto" w:fill="D9D9D9" w:themeFill="background1" w:themeFillShade="D9"/>
        <w:ind w:left="0" w:firstLine="0"/>
        <w:rPr>
          <w:rFonts w:ascii="Calibri" w:hAnsi="Calibri" w:cs="Calibri"/>
          <w:b/>
          <w:bCs/>
          <w:i/>
          <w:iCs/>
          <w:sz w:val="28"/>
          <w:szCs w:val="28"/>
        </w:rPr>
      </w:pPr>
      <w:r w:rsidRPr="00A2267C">
        <w:rPr>
          <w:rFonts w:ascii="Calibri" w:hAnsi="Calibri" w:cs="Calibri"/>
          <w:b/>
          <w:bCs/>
          <w:i/>
          <w:iCs/>
          <w:sz w:val="28"/>
          <w:szCs w:val="28"/>
        </w:rPr>
        <w:t>2026 ICOMOS Conference</w:t>
      </w:r>
    </w:p>
    <w:p w14:paraId="089D5011" w14:textId="04BFFAFD" w:rsidR="00361F4D" w:rsidRPr="00A82EC3" w:rsidRDefault="00361F4D" w:rsidP="00D21904">
      <w:pPr>
        <w:ind w:left="0" w:firstLine="0"/>
        <w:jc w:val="both"/>
        <w:rPr>
          <w:rFonts w:ascii="Calibri" w:hAnsi="Calibri" w:cs="Calibri"/>
        </w:rPr>
      </w:pPr>
      <w:r w:rsidRPr="00A82EC3">
        <w:rPr>
          <w:rFonts w:ascii="Calibri" w:hAnsi="Calibri" w:cs="Calibri"/>
        </w:rPr>
        <w:t xml:space="preserve">To advise we’re not having a specific ICOMOS ANZ conference </w:t>
      </w:r>
      <w:r w:rsidR="00C24828" w:rsidRPr="00A82EC3">
        <w:rPr>
          <w:rFonts w:ascii="Calibri" w:hAnsi="Calibri" w:cs="Calibri"/>
        </w:rPr>
        <w:t>this year.</w:t>
      </w:r>
    </w:p>
    <w:p w14:paraId="7D16EF41" w14:textId="162E1498" w:rsidR="00C24828" w:rsidRPr="00A82EC3" w:rsidRDefault="00B837DD" w:rsidP="00D21904">
      <w:pPr>
        <w:ind w:left="0" w:firstLine="0"/>
        <w:jc w:val="both"/>
        <w:rPr>
          <w:rFonts w:ascii="Calibri" w:hAnsi="Calibri" w:cs="Calibri"/>
        </w:rPr>
      </w:pPr>
      <w:r w:rsidRPr="00A82EC3">
        <w:rPr>
          <w:rFonts w:ascii="Calibri" w:hAnsi="Calibri" w:cs="Calibri"/>
        </w:rPr>
        <w:lastRenderedPageBreak/>
        <w:t>Instead,</w:t>
      </w:r>
      <w:r w:rsidR="00C24828" w:rsidRPr="00A82EC3">
        <w:rPr>
          <w:rFonts w:ascii="Calibri" w:hAnsi="Calibri" w:cs="Calibri"/>
        </w:rPr>
        <w:t xml:space="preserve"> we’re collaborating with the Association of Critical Heritage </w:t>
      </w:r>
      <w:r w:rsidRPr="00A82EC3">
        <w:rPr>
          <w:rFonts w:ascii="Calibri" w:hAnsi="Calibri" w:cs="Calibri"/>
        </w:rPr>
        <w:t>Studies</w:t>
      </w:r>
      <w:r w:rsidR="00C24828" w:rsidRPr="00A82EC3">
        <w:rPr>
          <w:rFonts w:ascii="Calibri" w:hAnsi="Calibri" w:cs="Calibri"/>
        </w:rPr>
        <w:t xml:space="preserve">, as they hold </w:t>
      </w:r>
      <w:r w:rsidRPr="00A82EC3">
        <w:rPr>
          <w:rFonts w:ascii="Calibri" w:hAnsi="Calibri" w:cs="Calibri"/>
        </w:rPr>
        <w:t>their</w:t>
      </w:r>
      <w:r w:rsidR="00C24828" w:rsidRPr="00A82EC3">
        <w:rPr>
          <w:rFonts w:ascii="Calibri" w:hAnsi="Calibri" w:cs="Calibri"/>
        </w:rPr>
        <w:t xml:space="preserve"> annual conference </w:t>
      </w:r>
      <w:r w:rsidRPr="00A82EC3">
        <w:rPr>
          <w:rFonts w:ascii="Calibri" w:hAnsi="Calibri" w:cs="Calibri"/>
        </w:rPr>
        <w:t>in</w:t>
      </w:r>
      <w:r w:rsidR="00C24828" w:rsidRPr="00A82EC3">
        <w:rPr>
          <w:rFonts w:ascii="Calibri" w:hAnsi="Calibri" w:cs="Calibri"/>
        </w:rPr>
        <w:t xml:space="preserve"> Wellington Te Whanganui A Tara in December.</w:t>
      </w:r>
    </w:p>
    <w:p w14:paraId="144C823E" w14:textId="70100BD6" w:rsidR="00C24828" w:rsidRPr="00A82EC3" w:rsidRDefault="00C24828" w:rsidP="00D21904">
      <w:pPr>
        <w:ind w:left="0" w:firstLine="0"/>
        <w:jc w:val="both"/>
        <w:rPr>
          <w:rFonts w:ascii="Calibri" w:hAnsi="Calibri" w:cs="Calibri"/>
        </w:rPr>
      </w:pPr>
      <w:r w:rsidRPr="00A82EC3">
        <w:rPr>
          <w:rFonts w:ascii="Calibri" w:hAnsi="Calibri" w:cs="Calibri"/>
        </w:rPr>
        <w:t>We strongly encourage members</w:t>
      </w:r>
      <w:r w:rsidR="00B837DD" w:rsidRPr="00A82EC3">
        <w:rPr>
          <w:rFonts w:ascii="Calibri" w:hAnsi="Calibri" w:cs="Calibri"/>
        </w:rPr>
        <w:t xml:space="preserve"> </w:t>
      </w:r>
      <w:r w:rsidRPr="00A82EC3">
        <w:rPr>
          <w:rFonts w:ascii="Calibri" w:hAnsi="Calibri" w:cs="Calibri"/>
        </w:rPr>
        <w:t xml:space="preserve">to attend this conference e- it will be fascinating and through t provoking.  ICOMOS is working with the Planning Committee to offer local </w:t>
      </w:r>
      <w:r w:rsidR="00B837DD" w:rsidRPr="00A82EC3">
        <w:rPr>
          <w:rFonts w:ascii="Calibri" w:hAnsi="Calibri" w:cs="Calibri"/>
        </w:rPr>
        <w:t>knowledge</w:t>
      </w:r>
      <w:r w:rsidRPr="00A82EC3">
        <w:rPr>
          <w:rFonts w:ascii="Calibri" w:hAnsi="Calibri" w:cs="Calibri"/>
        </w:rPr>
        <w:t xml:space="preserve"> and </w:t>
      </w:r>
      <w:r w:rsidR="00B837DD" w:rsidRPr="00A82EC3">
        <w:rPr>
          <w:rFonts w:ascii="Calibri" w:hAnsi="Calibri" w:cs="Calibri"/>
        </w:rPr>
        <w:t>fieldtrips</w:t>
      </w:r>
      <w:r w:rsidRPr="00A82EC3">
        <w:rPr>
          <w:rFonts w:ascii="Calibri" w:hAnsi="Calibri" w:cs="Calibri"/>
        </w:rPr>
        <w:t>.</w:t>
      </w:r>
    </w:p>
    <w:p w14:paraId="13510B60" w14:textId="77777777" w:rsidR="00C24828" w:rsidRPr="00A82EC3" w:rsidRDefault="00C24828" w:rsidP="00D21904">
      <w:pPr>
        <w:ind w:left="0" w:firstLine="0"/>
        <w:jc w:val="both"/>
        <w:rPr>
          <w:rFonts w:ascii="Calibri" w:hAnsi="Calibri" w:cs="Calibri"/>
        </w:rPr>
      </w:pPr>
      <w:r w:rsidRPr="00A82EC3">
        <w:rPr>
          <w:rFonts w:ascii="Calibri" w:hAnsi="Calibri" w:cs="Calibri"/>
        </w:rPr>
        <w:t>The dates of the conference are 29 November-2 December</w:t>
      </w:r>
    </w:p>
    <w:p w14:paraId="2F76C9F1" w14:textId="5F6FBAAB" w:rsidR="00C24828" w:rsidRDefault="00C24828" w:rsidP="00D21904">
      <w:pPr>
        <w:ind w:left="0" w:firstLine="0"/>
        <w:jc w:val="both"/>
        <w:rPr>
          <w:rFonts w:ascii="Calibri" w:hAnsi="Calibri" w:cs="Calibri"/>
        </w:rPr>
      </w:pPr>
      <w:r w:rsidRPr="00A82EC3">
        <w:rPr>
          <w:rFonts w:ascii="Calibri" w:hAnsi="Calibri" w:cs="Calibri"/>
        </w:rPr>
        <w:t xml:space="preserve">The conference website is at </w:t>
      </w:r>
      <w:hyperlink r:id="rId6" w:history="1">
        <w:r w:rsidR="00092183" w:rsidRPr="00710308">
          <w:rPr>
            <w:rStyle w:val="Hyperlink"/>
            <w:rFonts w:ascii="Calibri" w:hAnsi="Calibri" w:cs="Calibri"/>
          </w:rPr>
          <w:t>www.criticalheritagestudies.org/2026-conference</w:t>
        </w:r>
      </w:hyperlink>
      <w:r w:rsidRPr="00A82EC3">
        <w:rPr>
          <w:rFonts w:ascii="Calibri" w:hAnsi="Calibri" w:cs="Calibri"/>
        </w:rPr>
        <w:t xml:space="preserve"> </w:t>
      </w:r>
    </w:p>
    <w:p w14:paraId="14A98C25" w14:textId="22BB5631" w:rsidR="00092183" w:rsidRDefault="00092183" w:rsidP="00D21904">
      <w:pPr>
        <w:ind w:left="0" w:firstLine="0"/>
        <w:jc w:val="both"/>
        <w:rPr>
          <w:rFonts w:ascii="Calibri" w:hAnsi="Calibri" w:cs="Calibri"/>
        </w:rPr>
      </w:pPr>
      <w:r>
        <w:rPr>
          <w:rFonts w:ascii="Calibri" w:hAnsi="Calibri" w:cs="Calibri"/>
        </w:rPr>
        <w:t>Early bird registration is now open on the website.</w:t>
      </w:r>
    </w:p>
    <w:p w14:paraId="628D7B71" w14:textId="77777777" w:rsidR="00904557" w:rsidRDefault="00904557" w:rsidP="00361F4D">
      <w:pPr>
        <w:ind w:left="0" w:firstLine="0"/>
        <w:rPr>
          <w:rFonts w:ascii="Calibri" w:hAnsi="Calibri" w:cs="Calibri"/>
        </w:rPr>
      </w:pPr>
    </w:p>
    <w:p w14:paraId="684F1DA0" w14:textId="77777777" w:rsidR="0000754E" w:rsidRDefault="0000754E" w:rsidP="00361F4D">
      <w:pPr>
        <w:ind w:left="0" w:firstLine="0"/>
        <w:rPr>
          <w:rFonts w:ascii="Calibri" w:hAnsi="Calibri" w:cs="Calibri"/>
        </w:rPr>
      </w:pPr>
    </w:p>
    <w:p w14:paraId="7B1029C8" w14:textId="77777777" w:rsidR="00904557" w:rsidRPr="00A2267C" w:rsidRDefault="00B837DD" w:rsidP="00A2267C">
      <w:pPr>
        <w:shd w:val="clear" w:color="auto" w:fill="D9D9D9" w:themeFill="background1" w:themeFillShade="D9"/>
        <w:ind w:left="0" w:firstLine="0"/>
        <w:rPr>
          <w:rFonts w:ascii="Calibri" w:hAnsi="Calibri" w:cs="Calibri"/>
          <w:b/>
          <w:bCs/>
          <w:i/>
          <w:iCs/>
          <w:sz w:val="28"/>
          <w:szCs w:val="28"/>
        </w:rPr>
      </w:pPr>
      <w:r w:rsidRPr="00A2267C">
        <w:rPr>
          <w:rFonts w:ascii="Calibri" w:hAnsi="Calibri" w:cs="Calibri"/>
          <w:b/>
          <w:bCs/>
          <w:i/>
          <w:iCs/>
          <w:sz w:val="28"/>
          <w:szCs w:val="28"/>
        </w:rPr>
        <w:t xml:space="preserve">ICOMOS ANZ </w:t>
      </w:r>
      <w:r w:rsidR="00904557" w:rsidRPr="00A2267C">
        <w:rPr>
          <w:rFonts w:ascii="Calibri" w:hAnsi="Calibri" w:cs="Calibri"/>
          <w:b/>
          <w:bCs/>
          <w:i/>
          <w:iCs/>
          <w:sz w:val="28"/>
          <w:szCs w:val="28"/>
        </w:rPr>
        <w:t>AGM</w:t>
      </w:r>
    </w:p>
    <w:p w14:paraId="6A0B28A1" w14:textId="2FAAC649" w:rsidR="00B837DD" w:rsidRDefault="00904557" w:rsidP="00D21904">
      <w:pPr>
        <w:ind w:left="0" w:firstLine="0"/>
        <w:jc w:val="both"/>
        <w:rPr>
          <w:rFonts w:ascii="Calibri" w:hAnsi="Calibri" w:cs="Calibri"/>
        </w:rPr>
      </w:pPr>
      <w:r>
        <w:rPr>
          <w:rFonts w:ascii="Calibri" w:hAnsi="Calibri" w:cs="Calibri"/>
        </w:rPr>
        <w:t xml:space="preserve">As we need to have an AGM to fulfil our rules, and elect a board and so forth, we’ll have a brief on-line AGM on </w:t>
      </w:r>
      <w:r w:rsidRPr="00A2267C">
        <w:rPr>
          <w:rFonts w:ascii="Calibri" w:hAnsi="Calibri" w:cs="Calibri"/>
          <w:b/>
          <w:bCs/>
        </w:rPr>
        <w:t>Wednesday 7 October, 7pm</w:t>
      </w:r>
      <w:r w:rsidR="00A2267C">
        <w:rPr>
          <w:rFonts w:ascii="Calibri" w:hAnsi="Calibri" w:cs="Calibri"/>
        </w:rPr>
        <w:t xml:space="preserve"> (I’ll send a zoom invite closer to the time)</w:t>
      </w:r>
    </w:p>
    <w:p w14:paraId="1A326812" w14:textId="77777777" w:rsidR="00A2267C" w:rsidRDefault="00A2267C" w:rsidP="00361F4D">
      <w:pPr>
        <w:ind w:left="0" w:firstLine="0"/>
        <w:rPr>
          <w:rFonts w:ascii="Calibri" w:hAnsi="Calibri" w:cs="Calibri"/>
        </w:rPr>
      </w:pPr>
    </w:p>
    <w:p w14:paraId="61EC7012" w14:textId="77777777" w:rsidR="0000754E" w:rsidRPr="00A82EC3" w:rsidRDefault="0000754E" w:rsidP="00361F4D">
      <w:pPr>
        <w:ind w:left="0" w:firstLine="0"/>
        <w:rPr>
          <w:rFonts w:ascii="Calibri" w:hAnsi="Calibri" w:cs="Calibri"/>
        </w:rPr>
      </w:pPr>
    </w:p>
    <w:p w14:paraId="12A9F87A" w14:textId="02BC1FC0" w:rsidR="00B837DD" w:rsidRPr="00A2267C" w:rsidRDefault="00B837DD" w:rsidP="00A2267C">
      <w:pPr>
        <w:shd w:val="clear" w:color="auto" w:fill="D9D9D9" w:themeFill="background1" w:themeFillShade="D9"/>
        <w:ind w:left="0" w:firstLine="0"/>
        <w:rPr>
          <w:rFonts w:ascii="Calibri" w:hAnsi="Calibri" w:cs="Calibri"/>
          <w:b/>
          <w:bCs/>
          <w:i/>
          <w:iCs/>
          <w:sz w:val="28"/>
          <w:szCs w:val="28"/>
        </w:rPr>
      </w:pPr>
      <w:r w:rsidRPr="00A2267C">
        <w:rPr>
          <w:rFonts w:ascii="Calibri" w:hAnsi="Calibri" w:cs="Calibri"/>
          <w:b/>
          <w:bCs/>
          <w:i/>
          <w:iCs/>
          <w:sz w:val="28"/>
          <w:szCs w:val="28"/>
        </w:rPr>
        <w:t>A reminder about ICOMOS 2026 General Assembly</w:t>
      </w:r>
    </w:p>
    <w:p w14:paraId="04505723" w14:textId="30627678" w:rsidR="00724A0E" w:rsidRPr="00A82EC3" w:rsidRDefault="00B837DD" w:rsidP="00D21904">
      <w:pPr>
        <w:ind w:left="0" w:firstLine="0"/>
        <w:jc w:val="both"/>
        <w:rPr>
          <w:rFonts w:ascii="Calibri" w:hAnsi="Calibri" w:cs="Calibri"/>
        </w:rPr>
      </w:pPr>
      <w:r w:rsidRPr="00A82EC3">
        <w:rPr>
          <w:rFonts w:ascii="Calibri" w:hAnsi="Calibri" w:cs="Calibri"/>
        </w:rPr>
        <w:t>The 22nd ICOMOS General Assembly (GA) and the Scientific Symposium will take place in Kuching, Malaysia, from 17 to 24 October 2026, organized by ICOMOS Malaysia.</w:t>
      </w:r>
    </w:p>
    <w:p w14:paraId="46A874B6" w14:textId="7A0C369D" w:rsidR="00B837DD" w:rsidRDefault="00B0154A" w:rsidP="00CC2EB1">
      <w:pPr>
        <w:ind w:left="0" w:firstLine="0"/>
        <w:rPr>
          <w:rFonts w:ascii="Calibri" w:hAnsi="Calibri" w:cs="Calibri"/>
        </w:rPr>
      </w:pPr>
      <w:hyperlink r:id="rId7" w:history="1">
        <w:r w:rsidRPr="00453235">
          <w:rPr>
            <w:rStyle w:val="Hyperlink"/>
            <w:rFonts w:ascii="Calibri" w:hAnsi="Calibri" w:cs="Calibri"/>
          </w:rPr>
          <w:t>www.icomosga2026.org.my/en/home</w:t>
        </w:r>
      </w:hyperlink>
    </w:p>
    <w:p w14:paraId="5CE83010" w14:textId="77777777" w:rsidR="00BE380E" w:rsidRDefault="00BE380E" w:rsidP="00CC2EB1">
      <w:pPr>
        <w:ind w:left="0" w:firstLine="0"/>
        <w:rPr>
          <w:rFonts w:ascii="Calibri" w:hAnsi="Calibri" w:cs="Calibri"/>
        </w:rPr>
      </w:pPr>
    </w:p>
    <w:p w14:paraId="63B69927" w14:textId="77777777" w:rsidR="00BE380E" w:rsidRDefault="00BE380E" w:rsidP="00CC2EB1">
      <w:pPr>
        <w:ind w:left="0" w:firstLine="0"/>
        <w:rPr>
          <w:rFonts w:ascii="Calibri" w:hAnsi="Calibri" w:cs="Calibri"/>
        </w:rPr>
      </w:pPr>
    </w:p>
    <w:p w14:paraId="03F9A43E" w14:textId="77777777" w:rsidR="00BE380E" w:rsidRDefault="00BE380E" w:rsidP="00CC2EB1">
      <w:pPr>
        <w:ind w:left="0" w:firstLine="0"/>
        <w:rPr>
          <w:rFonts w:ascii="Calibri" w:hAnsi="Calibri" w:cs="Calibri"/>
        </w:rPr>
      </w:pPr>
    </w:p>
    <w:p w14:paraId="7CA07504" w14:textId="00BF9DE1" w:rsidR="00BE380E" w:rsidRDefault="00BE380E" w:rsidP="00BE380E">
      <w:pPr>
        <w:ind w:left="0" w:firstLine="0"/>
        <w:jc w:val="right"/>
        <w:rPr>
          <w:rFonts w:ascii="Calibri" w:hAnsi="Calibri" w:cs="Calibri"/>
        </w:rPr>
      </w:pPr>
      <w:r>
        <w:rPr>
          <w:rFonts w:ascii="Calibri" w:hAnsi="Calibri" w:cs="Calibri"/>
        </w:rPr>
        <w:t>Mary O’Keeffe</w:t>
      </w:r>
    </w:p>
    <w:p w14:paraId="102388AA" w14:textId="445C2F81" w:rsidR="00BE380E" w:rsidRDefault="00BE380E" w:rsidP="00BE380E">
      <w:pPr>
        <w:ind w:left="0" w:firstLine="0"/>
        <w:jc w:val="right"/>
        <w:rPr>
          <w:rFonts w:ascii="Calibri" w:hAnsi="Calibri" w:cs="Calibri"/>
        </w:rPr>
      </w:pPr>
      <w:r>
        <w:rPr>
          <w:rFonts w:ascii="Calibri" w:hAnsi="Calibri" w:cs="Calibri"/>
        </w:rPr>
        <w:t>Board Secretary</w:t>
      </w:r>
    </w:p>
    <w:p w14:paraId="1E87D54B" w14:textId="69EF7BE6" w:rsidR="00BE380E" w:rsidRPr="00A82EC3" w:rsidRDefault="00BE380E" w:rsidP="00BE380E">
      <w:pPr>
        <w:ind w:left="0" w:firstLine="0"/>
        <w:jc w:val="right"/>
        <w:rPr>
          <w:rFonts w:ascii="Calibri" w:hAnsi="Calibri" w:cs="Calibri"/>
        </w:rPr>
      </w:pPr>
      <w:hyperlink r:id="rId8" w:history="1">
        <w:r w:rsidRPr="00A82EC3">
          <w:rPr>
            <w:rStyle w:val="Hyperlink"/>
            <w:rFonts w:ascii="Calibri" w:hAnsi="Calibri" w:cs="Calibri"/>
          </w:rPr>
          <w:t>secretariat@icomos.org.nz</w:t>
        </w:r>
      </w:hyperlink>
    </w:p>
    <w:sectPr w:rsidR="00BE380E" w:rsidRPr="00A82EC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Aptos Display">
    <w:charset w:val="00"/>
    <w:family w:val="swiss"/>
    <w:pitch w:val="variable"/>
    <w:sig w:usb0="20000287" w:usb1="00000003" w:usb2="00000000" w:usb3="00000000" w:csb0="0000019F" w:csb1="00000000"/>
  </w:font>
  <w:font w:name="Papyrus">
    <w:panose1 w:val="03070502060502030205"/>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408A9"/>
    <w:multiLevelType w:val="multilevel"/>
    <w:tmpl w:val="DE7E2A7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276C22"/>
    <w:multiLevelType w:val="multilevel"/>
    <w:tmpl w:val="61FA3F1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913A2A"/>
    <w:multiLevelType w:val="multilevel"/>
    <w:tmpl w:val="5414163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8C44654"/>
    <w:multiLevelType w:val="multilevel"/>
    <w:tmpl w:val="9FAE49C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C8D160D"/>
    <w:multiLevelType w:val="multilevel"/>
    <w:tmpl w:val="4E1E36D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380637D"/>
    <w:multiLevelType w:val="multilevel"/>
    <w:tmpl w:val="DD244D8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7AF23E0"/>
    <w:multiLevelType w:val="multilevel"/>
    <w:tmpl w:val="F692E8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979460C"/>
    <w:multiLevelType w:val="hybridMultilevel"/>
    <w:tmpl w:val="E7E4A47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5B2F6E80"/>
    <w:multiLevelType w:val="hybridMultilevel"/>
    <w:tmpl w:val="4F12C8D6"/>
    <w:lvl w:ilvl="0" w:tplc="DE8AFCA2">
      <w:start w:val="1"/>
      <w:numFmt w:val="bullet"/>
      <w:lvlText w:val=""/>
      <w:lvlJc w:val="left"/>
      <w:pPr>
        <w:ind w:left="720" w:hanging="360"/>
      </w:pPr>
      <w:rPr>
        <w:rFonts w:ascii="Symbol" w:hAnsi="Symbol" w:hint="default"/>
        <w:sz w:val="1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62E947AE"/>
    <w:multiLevelType w:val="multilevel"/>
    <w:tmpl w:val="239EEE8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9DE2EC6"/>
    <w:multiLevelType w:val="hybridMultilevel"/>
    <w:tmpl w:val="5426B010"/>
    <w:lvl w:ilvl="0" w:tplc="1409000F">
      <w:start w:val="1"/>
      <w:numFmt w:val="decimal"/>
      <w:lvlText w:val="%1."/>
      <w:lvlJc w:val="left"/>
      <w:pPr>
        <w:ind w:left="1077" w:hanging="360"/>
      </w:pPr>
    </w:lvl>
    <w:lvl w:ilvl="1" w:tplc="14090019" w:tentative="1">
      <w:start w:val="1"/>
      <w:numFmt w:val="lowerLetter"/>
      <w:lvlText w:val="%2."/>
      <w:lvlJc w:val="left"/>
      <w:pPr>
        <w:ind w:left="1797" w:hanging="360"/>
      </w:pPr>
    </w:lvl>
    <w:lvl w:ilvl="2" w:tplc="1409001B" w:tentative="1">
      <w:start w:val="1"/>
      <w:numFmt w:val="lowerRoman"/>
      <w:lvlText w:val="%3."/>
      <w:lvlJc w:val="right"/>
      <w:pPr>
        <w:ind w:left="2517" w:hanging="180"/>
      </w:pPr>
    </w:lvl>
    <w:lvl w:ilvl="3" w:tplc="1409000F" w:tentative="1">
      <w:start w:val="1"/>
      <w:numFmt w:val="decimal"/>
      <w:lvlText w:val="%4."/>
      <w:lvlJc w:val="left"/>
      <w:pPr>
        <w:ind w:left="3237" w:hanging="360"/>
      </w:pPr>
    </w:lvl>
    <w:lvl w:ilvl="4" w:tplc="14090019" w:tentative="1">
      <w:start w:val="1"/>
      <w:numFmt w:val="lowerLetter"/>
      <w:lvlText w:val="%5."/>
      <w:lvlJc w:val="left"/>
      <w:pPr>
        <w:ind w:left="3957" w:hanging="360"/>
      </w:pPr>
    </w:lvl>
    <w:lvl w:ilvl="5" w:tplc="1409001B" w:tentative="1">
      <w:start w:val="1"/>
      <w:numFmt w:val="lowerRoman"/>
      <w:lvlText w:val="%6."/>
      <w:lvlJc w:val="right"/>
      <w:pPr>
        <w:ind w:left="4677" w:hanging="180"/>
      </w:pPr>
    </w:lvl>
    <w:lvl w:ilvl="6" w:tplc="1409000F" w:tentative="1">
      <w:start w:val="1"/>
      <w:numFmt w:val="decimal"/>
      <w:lvlText w:val="%7."/>
      <w:lvlJc w:val="left"/>
      <w:pPr>
        <w:ind w:left="5397" w:hanging="360"/>
      </w:pPr>
    </w:lvl>
    <w:lvl w:ilvl="7" w:tplc="14090019" w:tentative="1">
      <w:start w:val="1"/>
      <w:numFmt w:val="lowerLetter"/>
      <w:lvlText w:val="%8."/>
      <w:lvlJc w:val="left"/>
      <w:pPr>
        <w:ind w:left="6117" w:hanging="360"/>
      </w:pPr>
    </w:lvl>
    <w:lvl w:ilvl="8" w:tplc="1409001B" w:tentative="1">
      <w:start w:val="1"/>
      <w:numFmt w:val="lowerRoman"/>
      <w:lvlText w:val="%9."/>
      <w:lvlJc w:val="right"/>
      <w:pPr>
        <w:ind w:left="6837" w:hanging="180"/>
      </w:pPr>
    </w:lvl>
  </w:abstractNum>
  <w:abstractNum w:abstractNumId="11" w15:restartNumberingAfterBreak="0">
    <w:nsid w:val="6B026FBD"/>
    <w:multiLevelType w:val="multilevel"/>
    <w:tmpl w:val="D14C0F3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B852DE8"/>
    <w:multiLevelType w:val="hybridMultilevel"/>
    <w:tmpl w:val="3836EE9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70E30975"/>
    <w:multiLevelType w:val="hybridMultilevel"/>
    <w:tmpl w:val="1B18CE88"/>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16cid:durableId="1663586602">
    <w:abstractNumId w:val="6"/>
  </w:num>
  <w:num w:numId="2" w16cid:durableId="1989630083">
    <w:abstractNumId w:val="0"/>
    <w:lvlOverride w:ilvl="0">
      <w:lvl w:ilvl="0">
        <w:numFmt w:val="decimal"/>
        <w:lvlText w:val="%1."/>
        <w:lvlJc w:val="left"/>
      </w:lvl>
    </w:lvlOverride>
  </w:num>
  <w:num w:numId="3" w16cid:durableId="1138720171">
    <w:abstractNumId w:val="4"/>
    <w:lvlOverride w:ilvl="0">
      <w:lvl w:ilvl="0">
        <w:numFmt w:val="decimal"/>
        <w:lvlText w:val="%1."/>
        <w:lvlJc w:val="left"/>
      </w:lvl>
    </w:lvlOverride>
  </w:num>
  <w:num w:numId="4" w16cid:durableId="1740521706">
    <w:abstractNumId w:val="2"/>
    <w:lvlOverride w:ilvl="0">
      <w:lvl w:ilvl="0">
        <w:numFmt w:val="decimal"/>
        <w:lvlText w:val="%1."/>
        <w:lvlJc w:val="left"/>
      </w:lvl>
    </w:lvlOverride>
  </w:num>
  <w:num w:numId="5" w16cid:durableId="1492015230">
    <w:abstractNumId w:val="9"/>
    <w:lvlOverride w:ilvl="0">
      <w:lvl w:ilvl="0">
        <w:numFmt w:val="decimal"/>
        <w:lvlText w:val="%1."/>
        <w:lvlJc w:val="left"/>
      </w:lvl>
    </w:lvlOverride>
  </w:num>
  <w:num w:numId="6" w16cid:durableId="253783418">
    <w:abstractNumId w:val="1"/>
    <w:lvlOverride w:ilvl="0">
      <w:lvl w:ilvl="0">
        <w:numFmt w:val="decimal"/>
        <w:lvlText w:val="%1."/>
        <w:lvlJc w:val="left"/>
      </w:lvl>
    </w:lvlOverride>
  </w:num>
  <w:num w:numId="7" w16cid:durableId="795678134">
    <w:abstractNumId w:val="3"/>
    <w:lvlOverride w:ilvl="0">
      <w:lvl w:ilvl="0">
        <w:numFmt w:val="decimal"/>
        <w:lvlText w:val="%1."/>
        <w:lvlJc w:val="left"/>
      </w:lvl>
    </w:lvlOverride>
  </w:num>
  <w:num w:numId="8" w16cid:durableId="1432629476">
    <w:abstractNumId w:val="11"/>
    <w:lvlOverride w:ilvl="0">
      <w:lvl w:ilvl="0">
        <w:numFmt w:val="decimal"/>
        <w:lvlText w:val="%1."/>
        <w:lvlJc w:val="left"/>
      </w:lvl>
    </w:lvlOverride>
  </w:num>
  <w:num w:numId="9" w16cid:durableId="474682528">
    <w:abstractNumId w:val="13"/>
  </w:num>
  <w:num w:numId="10" w16cid:durableId="249702504">
    <w:abstractNumId w:val="10"/>
  </w:num>
  <w:num w:numId="11" w16cid:durableId="260262946">
    <w:abstractNumId w:val="12"/>
  </w:num>
  <w:num w:numId="12" w16cid:durableId="496651975">
    <w:abstractNumId w:val="5"/>
  </w:num>
  <w:num w:numId="13" w16cid:durableId="1677800508">
    <w:abstractNumId w:val="8"/>
  </w:num>
  <w:num w:numId="14" w16cid:durableId="79194494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26AE"/>
    <w:rsid w:val="0000754E"/>
    <w:rsid w:val="00092183"/>
    <w:rsid w:val="00181E73"/>
    <w:rsid w:val="00184513"/>
    <w:rsid w:val="001F7BF1"/>
    <w:rsid w:val="002067EE"/>
    <w:rsid w:val="002E0AA4"/>
    <w:rsid w:val="00303B1E"/>
    <w:rsid w:val="00361F4D"/>
    <w:rsid w:val="00412A52"/>
    <w:rsid w:val="00565C60"/>
    <w:rsid w:val="00592937"/>
    <w:rsid w:val="005E191F"/>
    <w:rsid w:val="00625079"/>
    <w:rsid w:val="006966B3"/>
    <w:rsid w:val="006A3519"/>
    <w:rsid w:val="006B717C"/>
    <w:rsid w:val="006E1667"/>
    <w:rsid w:val="00724A0E"/>
    <w:rsid w:val="00735050"/>
    <w:rsid w:val="007C26DE"/>
    <w:rsid w:val="008B3841"/>
    <w:rsid w:val="008C109D"/>
    <w:rsid w:val="00904557"/>
    <w:rsid w:val="009122D5"/>
    <w:rsid w:val="00A05182"/>
    <w:rsid w:val="00A2267C"/>
    <w:rsid w:val="00A82EC3"/>
    <w:rsid w:val="00B0154A"/>
    <w:rsid w:val="00B837DD"/>
    <w:rsid w:val="00BC6560"/>
    <w:rsid w:val="00BE380E"/>
    <w:rsid w:val="00C24828"/>
    <w:rsid w:val="00C248FD"/>
    <w:rsid w:val="00CC2EB1"/>
    <w:rsid w:val="00D21904"/>
    <w:rsid w:val="00D326AE"/>
    <w:rsid w:val="00D35F8E"/>
    <w:rsid w:val="00DB5CFF"/>
    <w:rsid w:val="00DD02FA"/>
    <w:rsid w:val="00E01669"/>
    <w:rsid w:val="00E01BC2"/>
    <w:rsid w:val="00E23061"/>
    <w:rsid w:val="00E66A54"/>
    <w:rsid w:val="00E94776"/>
    <w:rsid w:val="00EC7245"/>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B0A7B3"/>
  <w15:chartTrackingRefBased/>
  <w15:docId w15:val="{96322003-57E0-4253-9091-3EEDE2CA1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Z" w:eastAsia="en-US" w:bidi="ar-SA"/>
        <w14:ligatures w14:val="standardContextual"/>
      </w:rPr>
    </w:rPrDefault>
    <w:pPrDefault>
      <w:pPr>
        <w:spacing w:after="120" w:line="276" w:lineRule="auto"/>
        <w:ind w:left="714" w:hanging="35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22D5"/>
    <w:rPr>
      <w:rFonts w:ascii="Palatino Linotype" w:hAnsi="Palatino Linotype"/>
    </w:rPr>
  </w:style>
  <w:style w:type="paragraph" w:styleId="Heading1">
    <w:name w:val="heading 1"/>
    <w:basedOn w:val="Normal"/>
    <w:next w:val="Normal"/>
    <w:link w:val="Heading1Char"/>
    <w:uiPriority w:val="9"/>
    <w:qFormat/>
    <w:rsid w:val="00D326A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326A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326AE"/>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326A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D326AE"/>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D326AE"/>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326AE"/>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326AE"/>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326AE"/>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26A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326A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326A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326A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326A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326A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326A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326A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326AE"/>
    <w:rPr>
      <w:rFonts w:eastAsiaTheme="majorEastAsia" w:cstheme="majorBidi"/>
      <w:color w:val="272727" w:themeColor="text1" w:themeTint="D8"/>
    </w:rPr>
  </w:style>
  <w:style w:type="paragraph" w:styleId="Title">
    <w:name w:val="Title"/>
    <w:basedOn w:val="Normal"/>
    <w:next w:val="Normal"/>
    <w:link w:val="TitleChar"/>
    <w:uiPriority w:val="10"/>
    <w:qFormat/>
    <w:rsid w:val="00D326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326A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326AE"/>
    <w:pPr>
      <w:numPr>
        <w:ilvl w:val="1"/>
      </w:numPr>
      <w:spacing w:after="160"/>
      <w:ind w:left="714" w:hanging="357"/>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326A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326A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326AE"/>
    <w:rPr>
      <w:rFonts w:ascii="Palatino Linotype" w:hAnsi="Palatino Linotype"/>
      <w:i/>
      <w:iCs/>
      <w:color w:val="404040" w:themeColor="text1" w:themeTint="BF"/>
    </w:rPr>
  </w:style>
  <w:style w:type="paragraph" w:styleId="ListParagraph">
    <w:name w:val="List Paragraph"/>
    <w:basedOn w:val="Normal"/>
    <w:uiPriority w:val="34"/>
    <w:qFormat/>
    <w:rsid w:val="00D326AE"/>
    <w:pPr>
      <w:ind w:left="720"/>
      <w:contextualSpacing/>
    </w:pPr>
  </w:style>
  <w:style w:type="character" w:styleId="IntenseEmphasis">
    <w:name w:val="Intense Emphasis"/>
    <w:basedOn w:val="DefaultParagraphFont"/>
    <w:uiPriority w:val="21"/>
    <w:qFormat/>
    <w:rsid w:val="00D326AE"/>
    <w:rPr>
      <w:i/>
      <w:iCs/>
      <w:color w:val="0F4761" w:themeColor="accent1" w:themeShade="BF"/>
    </w:rPr>
  </w:style>
  <w:style w:type="paragraph" w:styleId="IntenseQuote">
    <w:name w:val="Intense Quote"/>
    <w:basedOn w:val="Normal"/>
    <w:next w:val="Normal"/>
    <w:link w:val="IntenseQuoteChar"/>
    <w:uiPriority w:val="30"/>
    <w:qFormat/>
    <w:rsid w:val="00D326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326AE"/>
    <w:rPr>
      <w:rFonts w:ascii="Palatino Linotype" w:hAnsi="Palatino Linotype"/>
      <w:i/>
      <w:iCs/>
      <w:color w:val="0F4761" w:themeColor="accent1" w:themeShade="BF"/>
    </w:rPr>
  </w:style>
  <w:style w:type="character" w:styleId="IntenseReference">
    <w:name w:val="Intense Reference"/>
    <w:basedOn w:val="DefaultParagraphFont"/>
    <w:uiPriority w:val="32"/>
    <w:qFormat/>
    <w:rsid w:val="00D326AE"/>
    <w:rPr>
      <w:b/>
      <w:bCs/>
      <w:smallCaps/>
      <w:color w:val="0F4761" w:themeColor="accent1" w:themeShade="BF"/>
      <w:spacing w:val="5"/>
    </w:rPr>
  </w:style>
  <w:style w:type="character" w:styleId="Hyperlink">
    <w:name w:val="Hyperlink"/>
    <w:basedOn w:val="DefaultParagraphFont"/>
    <w:uiPriority w:val="99"/>
    <w:unhideWhenUsed/>
    <w:rsid w:val="00E23061"/>
    <w:rPr>
      <w:color w:val="467886" w:themeColor="hyperlink"/>
      <w:u w:val="single"/>
    </w:rPr>
  </w:style>
  <w:style w:type="character" w:styleId="UnresolvedMention">
    <w:name w:val="Unresolved Mention"/>
    <w:basedOn w:val="DefaultParagraphFont"/>
    <w:uiPriority w:val="99"/>
    <w:semiHidden/>
    <w:unhideWhenUsed/>
    <w:rsid w:val="00E23061"/>
    <w:rPr>
      <w:color w:val="605E5C"/>
      <w:shd w:val="clear" w:color="auto" w:fill="E1DFDD"/>
    </w:rPr>
  </w:style>
  <w:style w:type="paragraph" w:styleId="Revision">
    <w:name w:val="Revision"/>
    <w:hidden/>
    <w:uiPriority w:val="99"/>
    <w:semiHidden/>
    <w:rsid w:val="00735050"/>
    <w:pPr>
      <w:spacing w:after="0" w:line="240" w:lineRule="auto"/>
      <w:ind w:left="0" w:firstLine="0"/>
    </w:pPr>
    <w:rPr>
      <w:rFonts w:ascii="Palatino Linotype" w:hAnsi="Palatino Linoty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cretariat@icomos.org.nz" TargetMode="External"/><Relationship Id="rId3" Type="http://schemas.openxmlformats.org/officeDocument/2006/relationships/settings" Target="settings.xml"/><Relationship Id="rId7" Type="http://schemas.openxmlformats.org/officeDocument/2006/relationships/hyperlink" Target="http://www.icomosga2026.org.my/en/hom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riticalheritagestudies.org/2026-conference"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90</TotalTime>
  <Pages>5</Pages>
  <Words>1353</Words>
  <Characters>7718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O'Keeffe</dc:creator>
  <cp:keywords/>
  <dc:description/>
  <cp:lastModifiedBy>Mary O'Keeffe</cp:lastModifiedBy>
  <cp:revision>7</cp:revision>
  <dcterms:created xsi:type="dcterms:W3CDTF">2026-06-10T00:42:00Z</dcterms:created>
  <dcterms:modified xsi:type="dcterms:W3CDTF">2026-07-08T05:28:00Z</dcterms:modified>
</cp:coreProperties>
</file>