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firstLine="0"/>
        <w:jc w:val="center"/>
        <w:rPr>
          <w:rFonts w:ascii="Calibri" w:cs="Calibri" w:eastAsia="Calibri" w:hAnsi="Calibri"/>
          <w:sz w:val="32"/>
          <w:szCs w:val="32"/>
        </w:rPr>
      </w:pPr>
      <w:r w:rsidDel="00000000" w:rsidR="00000000" w:rsidRPr="00000000">
        <w:rPr>
          <w:rFonts w:ascii="Calibri" w:cs="Calibri" w:eastAsia="Calibri" w:hAnsi="Calibri"/>
          <w:sz w:val="32"/>
          <w:szCs w:val="32"/>
        </w:rPr>
        <w:drawing>
          <wp:inline distB="0" distT="0" distL="0" distR="0">
            <wp:extent cx="3442278" cy="114297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42278" cy="11429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firstLine="0"/>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ICOMOS Aotearoa New Zealand</w:t>
      </w:r>
    </w:p>
    <w:p w:rsidR="00000000" w:rsidDel="00000000" w:rsidP="00000000" w:rsidRDefault="00000000" w:rsidRPr="00000000" w14:paraId="00000003">
      <w:pPr>
        <w:pBdr>
          <w:bottom w:space="0" w:sz="0" w:val="nil"/>
        </w:pBdr>
        <w:spacing w:after="0" w:line="259" w:lineRule="auto"/>
        <w:ind w:firstLine="0"/>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Occasional Paper</w:t>
      </w:r>
    </w:p>
    <w:p w:rsidR="00000000" w:rsidDel="00000000" w:rsidP="00000000" w:rsidRDefault="00000000" w:rsidRPr="00000000" w14:paraId="00000004">
      <w:pPr>
        <w:pBdr>
          <w:bottom w:space="0" w:sz="0" w:val="nil"/>
        </w:pBdr>
        <w:spacing w:after="0" w:line="259" w:lineRule="auto"/>
        <w:ind w:firstLine="0"/>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5">
      <w:pPr>
        <w:pBdr>
          <w:top w:color="000000" w:space="2" w:sz="8" w:val="single"/>
        </w:pBdr>
        <w:shd w:fill="d9d9d9" w:val="clear"/>
        <w:spacing w:after="0" w:before="0" w:line="259" w:lineRule="auto"/>
        <w:ind w:firstLine="0"/>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6">
      <w:pPr>
        <w:shd w:fill="d9d9d9" w:val="clear"/>
        <w:spacing w:after="0" w:before="0" w:line="259" w:lineRule="auto"/>
        <w:ind w:firstLine="0"/>
        <w:jc w:val="center"/>
        <w:rPr>
          <w:rFonts w:ascii="Calibri" w:cs="Calibri" w:eastAsia="Calibri" w:hAnsi="Calibri"/>
          <w:i w:val="1"/>
          <w:iCs w:val="1"/>
          <w:sz w:val="32"/>
          <w:szCs w:val="32"/>
        </w:rPr>
      </w:pPr>
      <w:r w:rsidDel="00000000" w:rsidR="00000000" w:rsidRPr="00000000">
        <w:rPr>
          <w:rFonts w:ascii="Calibri" w:cs="Calibri" w:eastAsia="Calibri" w:hAnsi="Calibri"/>
          <w:i w:val="1"/>
          <w:iCs w:val="1"/>
          <w:sz w:val="32"/>
          <w:szCs w:val="32"/>
          <w:rtl w:val="0"/>
        </w:rPr>
        <w:t xml:space="preserve">Occasional Paper 6:</w:t>
      </w:r>
    </w:p>
    <w:p w:rsidR="00000000" w:rsidDel="00000000" w:rsidP="00000000" w:rsidRDefault="00000000" w:rsidRPr="00000000" w14:paraId="00000007">
      <w:pPr>
        <w:shd w:fill="d9d9d9" w:val="clear"/>
        <w:spacing w:after="0" w:before="0" w:line="259" w:lineRule="auto"/>
        <w:ind w:firstLine="0"/>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ICOMOS Aotearoa New Zealand Scholarship 2:</w:t>
      </w:r>
    </w:p>
    <w:p w:rsidR="00000000" w:rsidDel="00000000" w:rsidP="00000000" w:rsidRDefault="00000000" w:rsidRPr="00000000" w14:paraId="00000008">
      <w:pPr>
        <w:pStyle w:val="Heading1"/>
        <w:shd w:fill="d9d9d9" w:val="clear"/>
        <w:spacing w:after="0" w:before="0" w:lineRule="auto"/>
        <w:jc w:val="center"/>
        <w:rPr/>
      </w:pPr>
      <w:bookmarkStart w:colFirst="0" w:colLast="0" w:name="_heading=h.q99lbat1n3v" w:id="0"/>
      <w:bookmarkEnd w:id="0"/>
      <w:r w:rsidDel="00000000" w:rsidR="00000000" w:rsidRPr="00000000">
        <w:rPr>
          <w:rtl w:val="0"/>
        </w:rPr>
        <w:t xml:space="preserve">Heritage, Economics and Sustainability</w:t>
      </w:r>
    </w:p>
    <w:p w:rsidR="00000000" w:rsidDel="00000000" w:rsidP="00000000" w:rsidRDefault="00000000" w:rsidRPr="00000000" w14:paraId="00000009">
      <w:pPr>
        <w:pBdr>
          <w:bottom w:color="000000" w:space="2" w:sz="8" w:val="single"/>
        </w:pBdr>
        <w:shd w:fill="d9d9d9" w:val="clear"/>
        <w:spacing w:after="0" w:before="0" w:lineRule="auto"/>
        <w:rPr/>
      </w:pPr>
      <w:r w:rsidDel="00000000" w:rsidR="00000000" w:rsidRPr="00000000">
        <w:rPr>
          <w:rtl w:val="0"/>
        </w:rPr>
      </w:r>
    </w:p>
    <w:p w:rsidR="00000000" w:rsidDel="00000000" w:rsidP="00000000" w:rsidRDefault="00000000" w:rsidRPr="00000000" w14:paraId="0000000A">
      <w:pPr>
        <w:spacing w:after="160" w:line="276" w:lineRule="auto"/>
        <w:ind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240" w:line="276" w:lineRule="auto"/>
        <w:ind w:firstLine="0"/>
        <w:jc w:val="center"/>
        <w:rPr>
          <w:sz w:val="24"/>
          <w:szCs w:val="24"/>
        </w:rPr>
      </w:pPr>
      <w:r w:rsidDel="00000000" w:rsidR="00000000" w:rsidRPr="00000000">
        <w:rPr>
          <w:sz w:val="24"/>
          <w:szCs w:val="24"/>
          <w:rtl w:val="0"/>
        </w:rPr>
        <w:t xml:space="preserve">Author: Cansu (Jansu) Inal Kaynar</w:t>
      </w:r>
    </w:p>
    <w:p w:rsidR="00000000" w:rsidDel="00000000" w:rsidP="00000000" w:rsidRDefault="00000000" w:rsidRPr="00000000" w14:paraId="0000000C">
      <w:pPr>
        <w:spacing w:after="240" w:line="276" w:lineRule="auto"/>
        <w:ind w:firstLine="0"/>
        <w:jc w:val="center"/>
        <w:rPr>
          <w:sz w:val="24"/>
          <w:szCs w:val="24"/>
        </w:rPr>
      </w:pPr>
      <w:r w:rsidDel="00000000" w:rsidR="00000000" w:rsidRPr="00000000">
        <w:rPr>
          <w:sz w:val="24"/>
          <w:szCs w:val="24"/>
          <w:rtl w:val="0"/>
        </w:rPr>
        <w:t xml:space="preserve">Submitted: </w:t>
      </w:r>
      <w:r w:rsidDel="00000000" w:rsidR="00000000" w:rsidRPr="00000000">
        <w:rPr>
          <w:b w:val="1"/>
          <w:bCs w:val="1"/>
          <w:sz w:val="24"/>
          <w:szCs w:val="24"/>
          <w:rtl w:val="0"/>
        </w:rPr>
        <w:t xml:space="preserve">April 2026</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r>
    </w:p>
    <w:p w:rsidR="00000000" w:rsidDel="00000000" w:rsidP="00000000" w:rsidRDefault="00000000" w:rsidRPr="00000000" w14:paraId="0000000E">
      <w:pPr>
        <w:pStyle w:val="Heading1"/>
        <w:rPr/>
      </w:pPr>
      <w:r w:rsidDel="00000000" w:rsidR="00000000" w:rsidRPr="00000000">
        <w:rPr>
          <w:rtl w:val="0"/>
        </w:rPr>
        <w:t xml:space="preserve">Introduction</w:t>
      </w:r>
    </w:p>
    <w:p w:rsidR="00000000" w:rsidDel="00000000" w:rsidP="00000000" w:rsidRDefault="00000000" w:rsidRPr="00000000" w14:paraId="0000000F">
      <w:pPr>
        <w:ind w:left="0" w:firstLine="0"/>
        <w:rPr/>
      </w:pPr>
      <w:r w:rsidDel="00000000" w:rsidR="00000000" w:rsidRPr="00000000">
        <w:rPr>
          <w:rtl w:val="0"/>
        </w:rPr>
        <w:t xml:space="preserve">This report details the findings for "Scholarship Two: Heritage, Economics and Sustainability." The project is structured around two key research areas: first, mapping the role of cultural heritage in sustainable resource management and climate action; and second, mapping the economics of cultural heritage conservation. The literature review yielded 55 references and 29 distinct criteria relevant to sustainability and economics related to heritage conservation. These criteria are systematically organised into two interrelated tables, using unique codes (e.g., C1, C2, C3 for criteria and RS1, RS2, RE1, RE2 for references) to establish clear relationships between literature and the criteria it mentions.</w:t>
      </w:r>
    </w:p>
    <w:p w:rsidR="00000000" w:rsidDel="00000000" w:rsidP="00000000" w:rsidRDefault="00000000" w:rsidRPr="00000000" w14:paraId="00000010">
      <w:pPr>
        <w:pStyle w:val="Heading1"/>
        <w:numPr>
          <w:ilvl w:val="0"/>
          <w:numId w:val="1"/>
        </w:numPr>
        <w:ind w:left="432" w:hanging="432"/>
        <w:rPr/>
      </w:pPr>
      <w:r w:rsidDel="00000000" w:rsidR="00000000" w:rsidRPr="00000000">
        <w:rPr>
          <w:rtl w:val="0"/>
        </w:rPr>
        <w:t xml:space="preserve">Research Objectives</w:t>
      </w:r>
    </w:p>
    <w:p w:rsidR="00000000" w:rsidDel="00000000" w:rsidP="00000000" w:rsidRDefault="00000000" w:rsidRPr="00000000" w14:paraId="00000011">
      <w:pPr>
        <w:rPr/>
      </w:pPr>
      <w:r w:rsidDel="00000000" w:rsidR="00000000" w:rsidRPr="00000000">
        <w:rPr>
          <w:rtl w:val="0"/>
        </w:rPr>
        <w:t xml:space="preserve">This scholarship aims to investigate the intricate relationship between cultural heritage and two pivotal domains: sustainable resource management and climate action, as well as the economics of heritage conservation. The primary objective is to collect information and case studies that demonstrate how cultural heritage conservation contributes to sustainable development. On the other hand, explore the economic dimensions and implications associated with these conservation efforts. A central goal is to objectively investigate the multifaceted relationship between cultural heritage, sustainable development and economic sustainability of heritage conservation.</w:t>
      </w:r>
    </w:p>
    <w:p w:rsidR="00000000" w:rsidDel="00000000" w:rsidP="00000000" w:rsidRDefault="00000000" w:rsidRPr="00000000" w14:paraId="00000012">
      <w:pPr>
        <w:rPr/>
      </w:pPr>
      <w:r w:rsidDel="00000000" w:rsidR="00000000" w:rsidRPr="00000000">
        <w:rPr>
          <w:rtl w:val="0"/>
        </w:rPr>
        <w:t xml:space="preserve">The research focuses on gathering relevant literature and case studies from New Zealand, whilst also incorporating fundamental international research to provide a broader context and comparative insights. The findings from this literature review will culminate in the creation of two key outputs: an easily understandable literature database tailored for heritage stakeholders, and a written report summarising key points for each topic and highlighting important findings related to cultural heritage's role in both sustainable resource management and economic sustainability. </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pStyle w:val="Heading1"/>
        <w:numPr>
          <w:ilvl w:val="0"/>
          <w:numId w:val="1"/>
        </w:numPr>
        <w:ind w:left="432" w:hanging="432"/>
        <w:rPr/>
      </w:pPr>
      <w:r w:rsidDel="00000000" w:rsidR="00000000" w:rsidRPr="00000000">
        <w:rPr>
          <w:rtl w:val="0"/>
        </w:rPr>
        <w:t xml:space="preserve">Methodology</w:t>
      </w:r>
    </w:p>
    <w:p w:rsidR="00000000" w:rsidDel="00000000" w:rsidP="00000000" w:rsidRDefault="00000000" w:rsidRPr="00000000" w14:paraId="00000015">
      <w:pPr>
        <w:ind w:left="0" w:firstLine="0"/>
        <w:rPr/>
      </w:pPr>
      <w:r w:rsidDel="00000000" w:rsidR="00000000" w:rsidRPr="00000000">
        <w:rPr>
          <w:rtl w:val="0"/>
        </w:rPr>
        <w:t xml:space="preserve">The literature review began with an examination of the most prominent works that define the intersection of cultural heritage and sustainability, starting with New Zealand academic literature and then moving to prominent international research. This foundational phase established the theoretical landscape, identifying global trends in the relation between heritage conservation, sustainability and economics.</w:t>
      </w:r>
    </w:p>
    <w:p w:rsidR="00000000" w:rsidDel="00000000" w:rsidP="00000000" w:rsidRDefault="00000000" w:rsidRPr="00000000" w14:paraId="00000016">
      <w:pPr>
        <w:ind w:left="0" w:firstLine="0"/>
        <w:rPr>
          <w:highlight w:val="yellow"/>
        </w:rPr>
      </w:pPr>
      <w:r w:rsidDel="00000000" w:rsidR="00000000" w:rsidRPr="00000000">
        <w:rPr>
          <w:rtl w:val="0"/>
        </w:rPr>
        <w:t xml:space="preserve">These findings are synthesised into two primary tables. The first table presents a criteria list structured around four main thematic areas, subdivided into detailed topics and specific criteria, see Table 1. The second table presents identified resources which include bibliographic information, geographical focus, themes, digital links where available and findings. To facilitate clear cross-referencing between these datasets, both resources and criteria are assigned unique alphanumeric codes, such as RS1 (Reference Sustainability), RS2, RE1 (Reference Economy), RE2 and C1 (Criterion), C2, C3.</w:t>
      </w:r>
      <w:r w:rsidDel="00000000" w:rsidR="00000000" w:rsidRPr="00000000">
        <w:rPr>
          <w:rtl w:val="0"/>
        </w:rPr>
      </w:r>
    </w:p>
    <w:p w:rsidR="00000000" w:rsidDel="00000000" w:rsidP="00000000" w:rsidRDefault="00000000" w:rsidRPr="00000000" w14:paraId="00000017">
      <w:pPr>
        <w:pStyle w:val="Heading2"/>
        <w:numPr>
          <w:ilvl w:val="1"/>
          <w:numId w:val="1"/>
        </w:numPr>
        <w:ind w:left="576" w:hanging="576"/>
        <w:rPr/>
      </w:pPr>
      <w:r w:rsidDel="00000000" w:rsidR="00000000" w:rsidRPr="00000000">
        <w:rPr>
          <w:rtl w:val="0"/>
        </w:rPr>
        <w:t xml:space="preserve">Literature Database</w:t>
      </w:r>
    </w:p>
    <w:p w:rsidR="00000000" w:rsidDel="00000000" w:rsidP="00000000" w:rsidRDefault="00000000" w:rsidRPr="00000000" w14:paraId="00000018">
      <w:pPr>
        <w:ind w:left="0" w:firstLine="0"/>
        <w:rPr/>
      </w:pPr>
      <w:r w:rsidDel="00000000" w:rsidR="00000000" w:rsidRPr="00000000">
        <w:rPr>
          <w:rtl w:val="0"/>
        </w:rPr>
        <w:t xml:space="preserve">The literature review identified a total of 55 key references relevant to the economic and sustainability dimensions of heritage conservation. To facilitate a structured analysis, these works were categorised into two primary thematic pillars: economics (18 references) and sustainability (37 references). While several studies adopt a multidisciplinary approach that intersects both fields, each reference was classified according to its primary investigative focus or dominant methodology to ensure clarity within the database.</w:t>
      </w:r>
    </w:p>
    <w:p w:rsidR="00000000" w:rsidDel="00000000" w:rsidP="00000000" w:rsidRDefault="00000000" w:rsidRPr="00000000" w14:paraId="00000019">
      <w:pPr>
        <w:ind w:left="0" w:firstLine="0"/>
        <w:rPr/>
      </w:pPr>
      <w:r w:rsidDel="00000000" w:rsidR="00000000" w:rsidRPr="00000000">
        <w:rPr>
          <w:rtl w:val="0"/>
        </w:rPr>
        <w:t xml:space="preserve">The geographic distribution of the selected literature reflects a diverse international scope while maintaining the focus on the New Zealand context to address local regulatory and seismic requirements. Of the total references, 28 are centred on New Zealand, providing critical insights into the country’s unique challenges. The remaining 27 studies provide a global comparative framework, including contributions from the European Union, international meta-analyses or multi-country frameworks from Canada, the United States, and the United Kingdom.</w:t>
      </w:r>
    </w:p>
    <w:p w:rsidR="00000000" w:rsidDel="00000000" w:rsidP="00000000" w:rsidRDefault="00000000" w:rsidRPr="00000000" w14:paraId="0000001A">
      <w:pPr>
        <w:ind w:left="0" w:firstLine="0"/>
        <w:rPr>
          <w:highlight w:val="yellow"/>
        </w:rPr>
      </w:pPr>
      <w:r w:rsidDel="00000000" w:rsidR="00000000" w:rsidRPr="00000000">
        <w:rPr>
          <w:rtl w:val="0"/>
        </w:rPr>
        <w:t xml:space="preserve">To ensure the inclusion of contemporary methodologies and the latest research, the database is organised in reverse chronological order. </w:t>
      </w:r>
      <w:r w:rsidDel="00000000" w:rsidR="00000000" w:rsidRPr="00000000">
        <w:rPr>
          <w:rtl w:val="0"/>
        </w:rPr>
      </w:r>
    </w:p>
    <w:p w:rsidR="00000000" w:rsidDel="00000000" w:rsidP="00000000" w:rsidRDefault="00000000" w:rsidRPr="00000000" w14:paraId="0000001B">
      <w:pPr>
        <w:pStyle w:val="Heading2"/>
        <w:numPr>
          <w:ilvl w:val="1"/>
          <w:numId w:val="1"/>
        </w:numPr>
        <w:ind w:left="576" w:hanging="576"/>
        <w:rPr/>
      </w:pPr>
      <w:r w:rsidDel="00000000" w:rsidR="00000000" w:rsidRPr="00000000">
        <w:rPr>
          <w:rtl w:val="0"/>
        </w:rPr>
        <w:t xml:space="preserve">Criteria Framework</w:t>
      </w:r>
    </w:p>
    <w:p w:rsidR="00000000" w:rsidDel="00000000" w:rsidP="00000000" w:rsidRDefault="00000000" w:rsidRPr="00000000" w14:paraId="0000001C">
      <w:pPr>
        <w:ind w:left="0" w:firstLine="0"/>
        <w:rPr/>
      </w:pPr>
      <w:r w:rsidDel="00000000" w:rsidR="00000000" w:rsidRPr="00000000">
        <w:rPr>
          <w:rtl w:val="0"/>
        </w:rPr>
        <w:t xml:space="preserve">Heritage, Economics and Sustainability Criteria Table is organised into a hierarchical structure comprising four overarching pillars: Social Resilience, Environmental Sustainability, Economic Sustainability, and Seismic Resilience. These primary categories are further delineated into nine mid-level sub-categories and 29 distinct  criteria, as detailed in Table 1. To facilitate a cross-reference to the literature, each criterion is assigned a unique alphanumeric code (C1 through C29).</w:t>
      </w:r>
    </w:p>
    <w:p w:rsidR="00000000" w:rsidDel="00000000" w:rsidP="00000000" w:rsidRDefault="00000000" w:rsidRPr="00000000" w14:paraId="0000001D">
      <w:pPr>
        <w:spacing w:after="160" w:line="278.00000000000006" w:lineRule="auto"/>
        <w:ind w:firstLine="0"/>
        <w:jc w:val="left"/>
        <w:rPr>
          <w:b w:val="1"/>
          <w:bCs w:val="1"/>
          <w:sz w:val="24"/>
          <w:szCs w:val="24"/>
        </w:rPr>
      </w:pPr>
      <w:bookmarkStart w:colFirst="0" w:colLast="0" w:name="_heading=h.e4jft5pb2xnn" w:id="1"/>
      <w:bookmarkEnd w:id="1"/>
      <w:r w:rsidDel="00000000" w:rsidR="00000000" w:rsidRPr="00000000">
        <w:br w:type="page"/>
      </w:r>
      <w:r w:rsidDel="00000000" w:rsidR="00000000" w:rsidRPr="00000000">
        <w:rPr>
          <w:rtl w:val="0"/>
        </w:rPr>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ynyow2xqlb7n" w:id="2"/>
      <w:bookmarkEnd w:id="2"/>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Table 1 Heritage, Economics and Sustainability Criteria Table</w:t>
      </w:r>
    </w:p>
    <w:tbl>
      <w:tblPr>
        <w:tblStyle w:val="Table1"/>
        <w:tblW w:w="10762.0" w:type="dxa"/>
        <w:jc w:val="left"/>
        <w:tblLayout w:type="fixed"/>
        <w:tblLook w:val="0400"/>
      </w:tblPr>
      <w:tblGrid>
        <w:gridCol w:w="1871"/>
        <w:gridCol w:w="2670"/>
        <w:gridCol w:w="5234"/>
        <w:gridCol w:w="987"/>
        <w:tblGridChange w:id="0">
          <w:tblGrid>
            <w:gridCol w:w="1871"/>
            <w:gridCol w:w="2670"/>
            <w:gridCol w:w="5234"/>
            <w:gridCol w:w="987"/>
          </w:tblGrid>
        </w:tblGridChange>
      </w:tblGrid>
      <w:tr>
        <w:trPr>
          <w:cantSplit w:val="0"/>
          <w:trHeight w:val="600"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0" w:line="240" w:lineRule="auto"/>
              <w:ind w:firstLine="0"/>
              <w:jc w:val="center"/>
              <w:rPr>
                <w:b w:val="1"/>
                <w:bCs w:val="1"/>
                <w:color w:val="000000"/>
              </w:rPr>
            </w:pPr>
            <w:r w:rsidDel="00000000" w:rsidR="00000000" w:rsidRPr="00000000">
              <w:rPr>
                <w:b w:val="1"/>
                <w:bCs w:val="1"/>
                <w:color w:val="000000"/>
                <w:rtl w:val="0"/>
              </w:rPr>
              <w:t xml:space="preserve">Heritage, Economics and Sustainability</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2">
            <w:pPr>
              <w:spacing w:after="0" w:line="240" w:lineRule="auto"/>
              <w:ind w:firstLine="0"/>
              <w:jc w:val="center"/>
              <w:rPr>
                <w:b w:val="1"/>
                <w:bCs w:val="1"/>
                <w:color w:val="000000"/>
              </w:rPr>
            </w:pPr>
            <w:r w:rsidDel="00000000" w:rsidR="00000000" w:rsidRPr="00000000">
              <w:rPr>
                <w:b w:val="1"/>
                <w:bCs w:val="1"/>
                <w:color w:val="000000"/>
                <w:rtl w:val="0"/>
              </w:rPr>
              <w:t xml:space="preserve">Criteria Code</w:t>
            </w:r>
          </w:p>
        </w:tc>
      </w:tr>
      <w:tr>
        <w:trPr>
          <w:cantSplit w:val="0"/>
          <w:trHeight w:val="360" w:hRule="atLeast"/>
          <w:tblHeader w:val="0"/>
        </w:trPr>
        <w:tc>
          <w:tcPr>
            <w:vMerge w:val="restart"/>
            <w:tcBorders>
              <w:top w:color="000000" w:space="0" w:sz="0" w:val="nil"/>
              <w:left w:color="000000" w:space="0" w:sz="4" w:val="single"/>
              <w:bottom w:color="000000" w:space="0" w:sz="4" w:val="single"/>
              <w:right w:color="000000" w:space="0" w:sz="4" w:val="single"/>
            </w:tcBorders>
            <w:shd w:fill="fbe2d5" w:val="clear"/>
            <w:vAlign w:val="center"/>
          </w:tcPr>
          <w:p w:rsidR="00000000" w:rsidDel="00000000" w:rsidP="00000000" w:rsidRDefault="00000000" w:rsidRPr="00000000" w14:paraId="00000023">
            <w:pPr>
              <w:spacing w:after="0" w:line="240" w:lineRule="auto"/>
              <w:ind w:firstLine="0"/>
              <w:jc w:val="left"/>
              <w:rPr>
                <w:b w:val="1"/>
                <w:bCs w:val="1"/>
                <w:color w:val="000000"/>
              </w:rPr>
            </w:pPr>
            <w:r w:rsidDel="00000000" w:rsidR="00000000" w:rsidRPr="00000000">
              <w:rPr>
                <w:b w:val="1"/>
                <w:bCs w:val="1"/>
                <w:color w:val="000000"/>
                <w:rtl w:val="0"/>
              </w:rPr>
              <w:t xml:space="preserve">Social Resilience</w:t>
            </w:r>
          </w:p>
        </w:tc>
        <w:tc>
          <w:tcPr>
            <w:vMerge w:val="restart"/>
            <w:tcBorders>
              <w:top w:color="000000" w:space="0" w:sz="0" w:val="nil"/>
              <w:left w:color="000000" w:space="0" w:sz="4" w:val="single"/>
              <w:bottom w:color="000000" w:space="0" w:sz="4" w:val="single"/>
              <w:right w:color="000000" w:space="0" w:sz="4" w:val="single"/>
            </w:tcBorders>
            <w:shd w:fill="fbe2d5" w:val="clear"/>
            <w:vAlign w:val="center"/>
          </w:tcPr>
          <w:p w:rsidR="00000000" w:rsidDel="00000000" w:rsidP="00000000" w:rsidRDefault="00000000" w:rsidRPr="00000000" w14:paraId="00000024">
            <w:pPr>
              <w:spacing w:after="0" w:line="240" w:lineRule="auto"/>
              <w:ind w:firstLine="0"/>
              <w:jc w:val="left"/>
              <w:rPr>
                <w:b w:val="1"/>
                <w:bCs w:val="1"/>
                <w:color w:val="000000"/>
              </w:rPr>
            </w:pPr>
            <w:r w:rsidDel="00000000" w:rsidR="00000000" w:rsidRPr="00000000">
              <w:rPr>
                <w:b w:val="1"/>
                <w:bCs w:val="1"/>
                <w:color w:val="000000"/>
                <w:rtl w:val="0"/>
              </w:rPr>
              <w:t xml:space="preserve">Identity, Cultural Continuum</w:t>
            </w:r>
          </w:p>
        </w:tc>
        <w:tc>
          <w:tcPr>
            <w:tcBorders>
              <w:top w:color="000000" w:space="0" w:sz="0" w:val="nil"/>
              <w:left w:color="000000" w:space="0" w:sz="0" w:val="nil"/>
              <w:bottom w:color="000000" w:space="0" w:sz="4" w:val="single"/>
              <w:right w:color="000000" w:space="0" w:sz="4" w:val="single"/>
            </w:tcBorders>
            <w:shd w:fill="fbe2d5" w:val="clear"/>
            <w:vAlign w:val="center"/>
          </w:tcPr>
          <w:p w:rsidR="00000000" w:rsidDel="00000000" w:rsidP="00000000" w:rsidRDefault="00000000" w:rsidRPr="00000000" w14:paraId="00000025">
            <w:pPr>
              <w:spacing w:after="0" w:line="240" w:lineRule="auto"/>
              <w:ind w:firstLine="0"/>
              <w:jc w:val="left"/>
              <w:rPr>
                <w:color w:val="000000"/>
              </w:rPr>
            </w:pPr>
            <w:r w:rsidDel="00000000" w:rsidR="00000000" w:rsidRPr="00000000">
              <w:rPr>
                <w:color w:val="000000"/>
                <w:rtl w:val="0"/>
              </w:rPr>
              <w:t xml:space="preserve">Conservation of Sense of Place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spacing w:after="0" w:line="240" w:lineRule="auto"/>
              <w:ind w:firstLine="0"/>
              <w:jc w:val="center"/>
              <w:rPr>
                <w:color w:val="000000"/>
              </w:rPr>
            </w:pPr>
            <w:r w:rsidDel="00000000" w:rsidR="00000000" w:rsidRPr="00000000">
              <w:rPr>
                <w:color w:val="000000"/>
                <w:rtl w:val="0"/>
              </w:rPr>
              <w:t xml:space="preserve">C1</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fbe2d5"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be2d5"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be2d5" w:val="clear"/>
            <w:vAlign w:val="center"/>
          </w:tcPr>
          <w:p w:rsidR="00000000" w:rsidDel="00000000" w:rsidP="00000000" w:rsidRDefault="00000000" w:rsidRPr="00000000" w14:paraId="00000029">
            <w:pPr>
              <w:spacing w:after="0" w:line="240" w:lineRule="auto"/>
              <w:ind w:firstLine="0"/>
              <w:jc w:val="left"/>
              <w:rPr>
                <w:color w:val="000000"/>
              </w:rPr>
            </w:pPr>
            <w:r w:rsidDel="00000000" w:rsidR="00000000" w:rsidRPr="00000000">
              <w:rPr>
                <w:color w:val="000000"/>
                <w:rtl w:val="0"/>
              </w:rPr>
              <w:t xml:space="preserve">Conservation of Cultural Identity of Place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ind w:firstLine="0"/>
              <w:jc w:val="center"/>
              <w:rPr>
                <w:color w:val="000000"/>
              </w:rPr>
            </w:pPr>
            <w:r w:rsidDel="00000000" w:rsidR="00000000" w:rsidRPr="00000000">
              <w:rPr>
                <w:color w:val="000000"/>
                <w:rtl w:val="0"/>
              </w:rPr>
              <w:t xml:space="preserve">C2</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fbe2d5"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be2d5"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be2d5" w:val="clear"/>
            <w:vAlign w:val="center"/>
          </w:tcPr>
          <w:p w:rsidR="00000000" w:rsidDel="00000000" w:rsidP="00000000" w:rsidRDefault="00000000" w:rsidRPr="00000000" w14:paraId="0000002D">
            <w:pPr>
              <w:spacing w:after="0" w:line="240" w:lineRule="auto"/>
              <w:ind w:firstLine="0"/>
              <w:jc w:val="left"/>
              <w:rPr>
                <w:color w:val="000000"/>
              </w:rPr>
            </w:pPr>
            <w:r w:rsidDel="00000000" w:rsidR="00000000" w:rsidRPr="00000000">
              <w:rPr>
                <w:color w:val="000000"/>
                <w:rtl w:val="0"/>
              </w:rPr>
              <w:t xml:space="preserve">The Engagement of the Local Community in the Conservation Process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ind w:firstLine="0"/>
              <w:jc w:val="center"/>
              <w:rPr>
                <w:color w:val="000000"/>
              </w:rPr>
            </w:pPr>
            <w:r w:rsidDel="00000000" w:rsidR="00000000" w:rsidRPr="00000000">
              <w:rPr>
                <w:color w:val="000000"/>
                <w:rtl w:val="0"/>
              </w:rPr>
              <w:t xml:space="preserve">C3</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fbe2d5"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0" w:val="nil"/>
              <w:right w:color="000000" w:space="0" w:sz="4" w:val="single"/>
            </w:tcBorders>
            <w:shd w:fill="fbe2d5" w:val="clear"/>
            <w:vAlign w:val="center"/>
          </w:tcPr>
          <w:p w:rsidR="00000000" w:rsidDel="00000000" w:rsidP="00000000" w:rsidRDefault="00000000" w:rsidRPr="00000000" w14:paraId="00000030">
            <w:pPr>
              <w:spacing w:after="0" w:line="240" w:lineRule="auto"/>
              <w:ind w:firstLine="0"/>
              <w:jc w:val="left"/>
              <w:rPr>
                <w:b w:val="1"/>
                <w:bCs w:val="1"/>
                <w:color w:val="000000"/>
              </w:rPr>
            </w:pPr>
            <w:r w:rsidDel="00000000" w:rsidR="00000000" w:rsidRPr="00000000">
              <w:rPr>
                <w:b w:val="1"/>
                <w:bCs w:val="1"/>
                <w:color w:val="000000"/>
                <w:rtl w:val="0"/>
              </w:rPr>
              <w:t xml:space="preserve">Town Vitality</w:t>
            </w:r>
          </w:p>
        </w:tc>
        <w:tc>
          <w:tcPr>
            <w:tcBorders>
              <w:top w:color="000000" w:space="0" w:sz="0" w:val="nil"/>
              <w:left w:color="000000" w:space="0" w:sz="0" w:val="nil"/>
              <w:bottom w:color="000000" w:space="0" w:sz="4" w:val="single"/>
              <w:right w:color="000000" w:space="0" w:sz="4" w:val="single"/>
            </w:tcBorders>
            <w:shd w:fill="fbe2d5" w:val="clear"/>
            <w:vAlign w:val="center"/>
          </w:tcPr>
          <w:p w:rsidR="00000000" w:rsidDel="00000000" w:rsidP="00000000" w:rsidRDefault="00000000" w:rsidRPr="00000000" w14:paraId="00000031">
            <w:pPr>
              <w:spacing w:after="0" w:line="240" w:lineRule="auto"/>
              <w:ind w:firstLine="0"/>
              <w:jc w:val="left"/>
              <w:rPr>
                <w:color w:val="000000"/>
              </w:rPr>
            </w:pPr>
            <w:r w:rsidDel="00000000" w:rsidR="00000000" w:rsidRPr="00000000">
              <w:rPr>
                <w:color w:val="000000"/>
                <w:rtl w:val="0"/>
              </w:rPr>
              <w:t xml:space="preserve">Occupancy of the Buildings in the Area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ind w:firstLine="0"/>
              <w:jc w:val="center"/>
              <w:rPr>
                <w:color w:val="000000"/>
              </w:rPr>
            </w:pPr>
            <w:r w:rsidDel="00000000" w:rsidR="00000000" w:rsidRPr="00000000">
              <w:rPr>
                <w:color w:val="000000"/>
                <w:rtl w:val="0"/>
              </w:rPr>
              <w:t xml:space="preserve">C4</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fbe2d5"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fbe2d5"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be2d5" w:val="clear"/>
            <w:vAlign w:val="center"/>
          </w:tcPr>
          <w:p w:rsidR="00000000" w:rsidDel="00000000" w:rsidP="00000000" w:rsidRDefault="00000000" w:rsidRPr="00000000" w14:paraId="00000035">
            <w:pPr>
              <w:spacing w:after="0" w:line="240" w:lineRule="auto"/>
              <w:ind w:firstLine="0"/>
              <w:jc w:val="left"/>
              <w:rPr>
                <w:color w:val="000000"/>
              </w:rPr>
            </w:pPr>
            <w:r w:rsidDel="00000000" w:rsidR="00000000" w:rsidRPr="00000000">
              <w:rPr>
                <w:color w:val="000000"/>
                <w:rtl w:val="0"/>
              </w:rPr>
              <w:t xml:space="preserve">Improved Quality of Life in the Area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line="240" w:lineRule="auto"/>
              <w:ind w:firstLine="0"/>
              <w:jc w:val="center"/>
              <w:rPr>
                <w:color w:val="000000"/>
              </w:rPr>
            </w:pPr>
            <w:r w:rsidDel="00000000" w:rsidR="00000000" w:rsidRPr="00000000">
              <w:rPr>
                <w:color w:val="000000"/>
                <w:rtl w:val="0"/>
              </w:rPr>
              <w:t xml:space="preserve">C5</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fbe2d5"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fbe2d5"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be2d5" w:val="clear"/>
            <w:vAlign w:val="center"/>
          </w:tcPr>
          <w:p w:rsidR="00000000" w:rsidDel="00000000" w:rsidP="00000000" w:rsidRDefault="00000000" w:rsidRPr="00000000" w14:paraId="00000039">
            <w:pPr>
              <w:spacing w:after="0" w:line="240" w:lineRule="auto"/>
              <w:ind w:firstLine="0"/>
              <w:jc w:val="left"/>
              <w:rPr>
                <w:color w:val="000000"/>
              </w:rPr>
            </w:pPr>
            <w:r w:rsidDel="00000000" w:rsidR="00000000" w:rsidRPr="00000000">
              <w:rPr>
                <w:color w:val="000000"/>
                <w:rtl w:val="0"/>
              </w:rPr>
              <w:t xml:space="preserve">Impact of Town Vitality on Crime Rate Reduction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ind w:firstLine="0"/>
              <w:jc w:val="center"/>
              <w:rPr>
                <w:color w:val="000000"/>
              </w:rPr>
            </w:pPr>
            <w:r w:rsidDel="00000000" w:rsidR="00000000" w:rsidRPr="00000000">
              <w:rPr>
                <w:color w:val="000000"/>
                <w:rtl w:val="0"/>
              </w:rPr>
              <w:t xml:space="preserve">C6</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fbe2d5"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fbe2d5"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be2d5" w:val="clear"/>
            <w:vAlign w:val="center"/>
          </w:tcPr>
          <w:p w:rsidR="00000000" w:rsidDel="00000000" w:rsidP="00000000" w:rsidRDefault="00000000" w:rsidRPr="00000000" w14:paraId="0000003D">
            <w:pPr>
              <w:spacing w:after="0" w:line="240" w:lineRule="auto"/>
              <w:ind w:firstLine="0"/>
              <w:jc w:val="left"/>
              <w:rPr>
                <w:color w:val="000000"/>
              </w:rPr>
            </w:pPr>
            <w:r w:rsidDel="00000000" w:rsidR="00000000" w:rsidRPr="00000000">
              <w:rPr>
                <w:color w:val="000000"/>
                <w:rtl w:val="0"/>
              </w:rPr>
              <w:t xml:space="preserve">Satisfying Development Needs</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3E">
            <w:pPr>
              <w:spacing w:after="0" w:line="240" w:lineRule="auto"/>
              <w:ind w:firstLine="0"/>
              <w:jc w:val="center"/>
              <w:rPr>
                <w:color w:val="000000"/>
              </w:rPr>
            </w:pPr>
            <w:r w:rsidDel="00000000" w:rsidR="00000000" w:rsidRPr="00000000">
              <w:rPr>
                <w:color w:val="000000"/>
                <w:rtl w:val="0"/>
              </w:rPr>
              <w:t xml:space="preserve">C7</w:t>
            </w:r>
          </w:p>
        </w:tc>
      </w:tr>
      <w:tr>
        <w:trPr>
          <w:cantSplit w:val="0"/>
          <w:trHeight w:val="120"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F">
            <w:pPr>
              <w:spacing w:after="0" w:line="240" w:lineRule="auto"/>
              <w:ind w:firstLine="0"/>
              <w:jc w:val="left"/>
              <w:rPr>
                <w:b w:val="1"/>
                <w:bCs w:val="1"/>
                <w:color w:val="000000"/>
              </w:rPr>
            </w:pPr>
            <w:r w:rsidDel="00000000" w:rsidR="00000000" w:rsidRPr="00000000">
              <w:rPr>
                <w:b w:val="1"/>
                <w:bCs w:val="1"/>
                <w:color w:val="000000"/>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0">
            <w:pPr>
              <w:spacing w:after="0" w:line="240" w:lineRule="auto"/>
              <w:ind w:firstLine="0"/>
              <w:jc w:val="left"/>
              <w:rPr>
                <w:b w:val="1"/>
                <w:bCs w:val="1"/>
                <w:color w:val="000000"/>
              </w:rPr>
            </w:pPr>
            <w:r w:rsidDel="00000000" w:rsidR="00000000" w:rsidRPr="00000000">
              <w:rPr>
                <w:b w:val="1"/>
                <w:bCs w:val="1"/>
                <w:color w:val="000000"/>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1">
            <w:pPr>
              <w:spacing w:after="0" w:line="240" w:lineRule="auto"/>
              <w:ind w:firstLine="0"/>
              <w:jc w:val="left"/>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2">
            <w:pPr>
              <w:spacing w:after="0" w:line="240" w:lineRule="auto"/>
              <w:ind w:firstLine="0"/>
              <w:jc w:val="center"/>
              <w:rPr>
                <w:color w:val="000000"/>
              </w:rPr>
            </w:pPr>
            <w:r w:rsidDel="00000000" w:rsidR="00000000" w:rsidRPr="00000000">
              <w:rPr>
                <w:color w:val="000000"/>
                <w:rtl w:val="0"/>
              </w:rPr>
              <w:t xml:space="preserve"> </w:t>
            </w:r>
          </w:p>
        </w:tc>
      </w:tr>
      <w:tr>
        <w:trPr>
          <w:cantSplit w:val="0"/>
          <w:trHeight w:val="360" w:hRule="atLeast"/>
          <w:tblHeader w:val="0"/>
        </w:trPr>
        <w:tc>
          <w:tcPr>
            <w:vMerge w:val="restart"/>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43">
            <w:pPr>
              <w:spacing w:after="0" w:line="240" w:lineRule="auto"/>
              <w:ind w:firstLine="0"/>
              <w:jc w:val="left"/>
              <w:rPr>
                <w:b w:val="1"/>
                <w:bCs w:val="1"/>
                <w:color w:val="000000"/>
              </w:rPr>
            </w:pPr>
            <w:r w:rsidDel="00000000" w:rsidR="00000000" w:rsidRPr="00000000">
              <w:rPr>
                <w:b w:val="1"/>
                <w:bCs w:val="1"/>
                <w:color w:val="000000"/>
                <w:rtl w:val="0"/>
              </w:rPr>
              <w:t xml:space="preserve">Environmental Sustainability</w:t>
            </w:r>
          </w:p>
        </w:tc>
        <w:tc>
          <w:tcPr>
            <w:vMerge w:val="restart"/>
            <w:tcBorders>
              <w:top w:color="000000" w:space="0" w:sz="0" w:val="nil"/>
              <w:left w:color="000000" w:space="0" w:sz="4" w:val="single"/>
              <w:bottom w:color="000000" w:space="0" w:sz="4" w:val="single"/>
              <w:right w:color="000000" w:space="0" w:sz="4" w:val="single"/>
            </w:tcBorders>
            <w:shd w:fill="8ed973" w:val="clear"/>
            <w:vAlign w:val="center"/>
          </w:tcPr>
          <w:p w:rsidR="00000000" w:rsidDel="00000000" w:rsidP="00000000" w:rsidRDefault="00000000" w:rsidRPr="00000000" w14:paraId="00000044">
            <w:pPr>
              <w:spacing w:after="0" w:line="240" w:lineRule="auto"/>
              <w:ind w:firstLine="0"/>
              <w:jc w:val="left"/>
              <w:rPr>
                <w:b w:val="1"/>
                <w:bCs w:val="1"/>
                <w:color w:val="000000"/>
              </w:rPr>
            </w:pPr>
            <w:r w:rsidDel="00000000" w:rsidR="00000000" w:rsidRPr="00000000">
              <w:rPr>
                <w:b w:val="1"/>
                <w:bCs w:val="1"/>
                <w:color w:val="000000"/>
                <w:rtl w:val="0"/>
              </w:rPr>
              <w:t xml:space="preserve">Energy</w:t>
            </w:r>
          </w:p>
        </w:tc>
        <w:tc>
          <w:tcPr>
            <w:tcBorders>
              <w:top w:color="000000" w:space="0" w:sz="0" w:val="nil"/>
              <w:left w:color="000000" w:space="0" w:sz="0" w:val="nil"/>
              <w:bottom w:color="000000" w:space="0" w:sz="4" w:val="single"/>
              <w:right w:color="000000" w:space="0" w:sz="4" w:val="single"/>
            </w:tcBorders>
            <w:shd w:fill="8ed973" w:val="clear"/>
            <w:vAlign w:val="center"/>
          </w:tcPr>
          <w:p w:rsidR="00000000" w:rsidDel="00000000" w:rsidP="00000000" w:rsidRDefault="00000000" w:rsidRPr="00000000" w14:paraId="00000045">
            <w:pPr>
              <w:spacing w:after="0" w:line="240" w:lineRule="auto"/>
              <w:ind w:firstLine="0"/>
              <w:jc w:val="left"/>
              <w:rPr>
                <w:color w:val="000000"/>
              </w:rPr>
            </w:pPr>
            <w:r w:rsidDel="00000000" w:rsidR="00000000" w:rsidRPr="00000000">
              <w:rPr>
                <w:color w:val="000000"/>
                <w:rtl w:val="0"/>
              </w:rPr>
              <w:t xml:space="preserve">Reusing Embodied Energy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ind w:firstLine="0"/>
              <w:jc w:val="center"/>
              <w:rPr>
                <w:color w:val="000000"/>
              </w:rPr>
            </w:pPr>
            <w:r w:rsidDel="00000000" w:rsidR="00000000" w:rsidRPr="00000000">
              <w:rPr>
                <w:color w:val="000000"/>
                <w:rtl w:val="0"/>
              </w:rPr>
              <w:t xml:space="preserve">C8</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8ed973"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8ed973" w:val="clear"/>
            <w:vAlign w:val="center"/>
          </w:tcPr>
          <w:p w:rsidR="00000000" w:rsidDel="00000000" w:rsidP="00000000" w:rsidRDefault="00000000" w:rsidRPr="00000000" w14:paraId="00000049">
            <w:pPr>
              <w:spacing w:after="0" w:line="240" w:lineRule="auto"/>
              <w:ind w:firstLine="0"/>
              <w:jc w:val="left"/>
              <w:rPr>
                <w:color w:val="000000"/>
              </w:rPr>
            </w:pPr>
            <w:r w:rsidDel="00000000" w:rsidR="00000000" w:rsidRPr="00000000">
              <w:rPr>
                <w:color w:val="000000"/>
                <w:rtl w:val="0"/>
              </w:rPr>
              <w:t xml:space="preserve">Lowering the Operational Energy Consumption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ind w:firstLine="0"/>
              <w:jc w:val="center"/>
              <w:rPr>
                <w:color w:val="000000"/>
              </w:rPr>
            </w:pPr>
            <w:r w:rsidDel="00000000" w:rsidR="00000000" w:rsidRPr="00000000">
              <w:rPr>
                <w:color w:val="000000"/>
                <w:rtl w:val="0"/>
              </w:rPr>
              <w:t xml:space="preserve">C9</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8ed973"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8ed973" w:val="clear"/>
            <w:vAlign w:val="center"/>
          </w:tcPr>
          <w:p w:rsidR="00000000" w:rsidDel="00000000" w:rsidP="00000000" w:rsidRDefault="00000000" w:rsidRPr="00000000" w14:paraId="0000004D">
            <w:pPr>
              <w:spacing w:after="0" w:line="240" w:lineRule="auto"/>
              <w:ind w:firstLine="0"/>
              <w:jc w:val="left"/>
              <w:rPr>
                <w:color w:val="000000"/>
              </w:rPr>
            </w:pPr>
            <w:r w:rsidDel="00000000" w:rsidR="00000000" w:rsidRPr="00000000">
              <w:rPr>
                <w:color w:val="000000"/>
                <w:rtl w:val="0"/>
              </w:rPr>
              <w:t xml:space="preserve">Extending the Physical Life of the Building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spacing w:after="0" w:line="240" w:lineRule="auto"/>
              <w:ind w:firstLine="0"/>
              <w:jc w:val="center"/>
              <w:rPr>
                <w:color w:val="000000"/>
              </w:rPr>
            </w:pPr>
            <w:r w:rsidDel="00000000" w:rsidR="00000000" w:rsidRPr="00000000">
              <w:rPr>
                <w:color w:val="000000"/>
                <w:rtl w:val="0"/>
              </w:rPr>
              <w:t xml:space="preserve">C10</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8ed973"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8ed973" w:val="clear"/>
            <w:vAlign w:val="center"/>
          </w:tcPr>
          <w:p w:rsidR="00000000" w:rsidDel="00000000" w:rsidP="00000000" w:rsidRDefault="00000000" w:rsidRPr="00000000" w14:paraId="00000051">
            <w:pPr>
              <w:spacing w:after="0" w:line="240" w:lineRule="auto"/>
              <w:ind w:firstLine="0"/>
              <w:jc w:val="left"/>
              <w:rPr>
                <w:color w:val="000000"/>
              </w:rPr>
            </w:pPr>
            <w:r w:rsidDel="00000000" w:rsidR="00000000" w:rsidRPr="00000000">
              <w:rPr>
                <w:color w:val="000000"/>
                <w:rtl w:val="0"/>
              </w:rPr>
              <w:t xml:space="preserve">Water Conservation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spacing w:after="0" w:line="240" w:lineRule="auto"/>
              <w:ind w:firstLine="0"/>
              <w:jc w:val="center"/>
              <w:rPr>
                <w:color w:val="000000"/>
              </w:rPr>
            </w:pPr>
            <w:r w:rsidDel="00000000" w:rsidR="00000000" w:rsidRPr="00000000">
              <w:rPr>
                <w:color w:val="000000"/>
                <w:rtl w:val="0"/>
              </w:rPr>
              <w:t xml:space="preserve">C11</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54">
            <w:pPr>
              <w:spacing w:after="0" w:line="240" w:lineRule="auto"/>
              <w:ind w:firstLine="0"/>
              <w:jc w:val="left"/>
              <w:rPr>
                <w:b w:val="1"/>
                <w:bCs w:val="1"/>
                <w:color w:val="000000"/>
              </w:rPr>
            </w:pPr>
            <w:r w:rsidDel="00000000" w:rsidR="00000000" w:rsidRPr="00000000">
              <w:rPr>
                <w:b w:val="1"/>
                <w:bCs w:val="1"/>
                <w:color w:val="000000"/>
                <w:rtl w:val="0"/>
              </w:rPr>
              <w:t xml:space="preserve">Construction Material</w:t>
            </w:r>
          </w:p>
        </w:tc>
        <w:tc>
          <w:tcPr>
            <w:tcBorders>
              <w:top w:color="000000" w:space="0" w:sz="0" w:val="nil"/>
              <w:left w:color="000000" w:space="0" w:sz="0" w:val="nil"/>
              <w:bottom w:color="000000" w:space="0" w:sz="4" w:val="single"/>
              <w:right w:color="000000" w:space="0" w:sz="4" w:val="single"/>
            </w:tcBorders>
            <w:shd w:fill="8ed973" w:val="clear"/>
            <w:vAlign w:val="center"/>
          </w:tcPr>
          <w:p w:rsidR="00000000" w:rsidDel="00000000" w:rsidP="00000000" w:rsidRDefault="00000000" w:rsidRPr="00000000" w14:paraId="00000055">
            <w:pPr>
              <w:spacing w:after="0" w:line="240" w:lineRule="auto"/>
              <w:ind w:firstLine="0"/>
              <w:jc w:val="left"/>
              <w:rPr>
                <w:color w:val="000000"/>
              </w:rPr>
            </w:pPr>
            <w:r w:rsidDel="00000000" w:rsidR="00000000" w:rsidRPr="00000000">
              <w:rPr>
                <w:color w:val="000000"/>
                <w:rtl w:val="0"/>
              </w:rPr>
              <w:t xml:space="preserve">Using Eco-friendly Materials During The Refurbishment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ind w:firstLine="0"/>
              <w:jc w:val="center"/>
              <w:rPr>
                <w:color w:val="000000"/>
              </w:rPr>
            </w:pPr>
            <w:r w:rsidDel="00000000" w:rsidR="00000000" w:rsidRPr="00000000">
              <w:rPr>
                <w:color w:val="000000"/>
                <w:rtl w:val="0"/>
              </w:rPr>
              <w:t xml:space="preserve">C12</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8ed973" w:val="clear"/>
            <w:vAlign w:val="center"/>
          </w:tcPr>
          <w:p w:rsidR="00000000" w:rsidDel="00000000" w:rsidP="00000000" w:rsidRDefault="00000000" w:rsidRPr="00000000" w14:paraId="00000059">
            <w:pPr>
              <w:spacing w:after="0" w:line="240" w:lineRule="auto"/>
              <w:ind w:firstLine="0"/>
              <w:jc w:val="left"/>
              <w:rPr>
                <w:color w:val="000000"/>
              </w:rPr>
            </w:pPr>
            <w:r w:rsidDel="00000000" w:rsidR="00000000" w:rsidRPr="00000000">
              <w:rPr>
                <w:color w:val="000000"/>
                <w:rtl w:val="0"/>
              </w:rPr>
              <w:t xml:space="preserve">The Quantity of Materials Used for the Refurbishment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40" w:lineRule="auto"/>
              <w:ind w:firstLine="0"/>
              <w:jc w:val="center"/>
              <w:rPr>
                <w:color w:val="000000"/>
              </w:rPr>
            </w:pPr>
            <w:r w:rsidDel="00000000" w:rsidR="00000000" w:rsidRPr="00000000">
              <w:rPr>
                <w:color w:val="000000"/>
                <w:rtl w:val="0"/>
              </w:rPr>
              <w:t xml:space="preserve">C13</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8ed973" w:val="clear"/>
            <w:vAlign w:val="center"/>
          </w:tcPr>
          <w:p w:rsidR="00000000" w:rsidDel="00000000" w:rsidP="00000000" w:rsidRDefault="00000000" w:rsidRPr="00000000" w14:paraId="0000005D">
            <w:pPr>
              <w:spacing w:after="0" w:line="240" w:lineRule="auto"/>
              <w:ind w:firstLine="0"/>
              <w:jc w:val="left"/>
              <w:rPr>
                <w:color w:val="000000"/>
              </w:rPr>
            </w:pPr>
            <w:r w:rsidDel="00000000" w:rsidR="00000000" w:rsidRPr="00000000">
              <w:rPr>
                <w:color w:val="000000"/>
                <w:rtl w:val="0"/>
              </w:rPr>
              <w:t xml:space="preserve">The Quantity of Construction Waste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after="0" w:line="240" w:lineRule="auto"/>
              <w:ind w:firstLine="0"/>
              <w:jc w:val="center"/>
              <w:rPr>
                <w:color w:val="000000"/>
              </w:rPr>
            </w:pPr>
            <w:r w:rsidDel="00000000" w:rsidR="00000000" w:rsidRPr="00000000">
              <w:rPr>
                <w:color w:val="000000"/>
                <w:rtl w:val="0"/>
              </w:rPr>
              <w:t xml:space="preserve">C14</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8ed973"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8ed973" w:val="clear"/>
            <w:vAlign w:val="center"/>
          </w:tcPr>
          <w:p w:rsidR="00000000" w:rsidDel="00000000" w:rsidP="00000000" w:rsidRDefault="00000000" w:rsidRPr="00000000" w14:paraId="00000061">
            <w:pPr>
              <w:spacing w:after="0" w:line="240" w:lineRule="auto"/>
              <w:ind w:firstLine="0"/>
              <w:jc w:val="left"/>
              <w:rPr>
                <w:color w:val="000000"/>
              </w:rPr>
            </w:pPr>
            <w:r w:rsidDel="00000000" w:rsidR="00000000" w:rsidRPr="00000000">
              <w:rPr>
                <w:color w:val="000000"/>
                <w:rtl w:val="0"/>
              </w:rPr>
              <w:t xml:space="preserve">Integration of Circular Economy Principles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ind w:firstLine="0"/>
              <w:jc w:val="center"/>
              <w:rPr>
                <w:color w:val="000000"/>
              </w:rPr>
            </w:pPr>
            <w:r w:rsidDel="00000000" w:rsidR="00000000" w:rsidRPr="00000000">
              <w:rPr>
                <w:color w:val="000000"/>
                <w:rtl w:val="0"/>
              </w:rPr>
              <w:t xml:space="preserve">C15</w:t>
            </w:r>
          </w:p>
        </w:tc>
      </w:tr>
      <w:tr>
        <w:trPr>
          <w:cantSplit w:val="0"/>
          <w:trHeight w:val="120"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63">
            <w:pPr>
              <w:spacing w:after="0" w:line="240" w:lineRule="auto"/>
              <w:ind w:firstLine="0"/>
              <w:jc w:val="left"/>
              <w:rPr>
                <w:b w:val="1"/>
                <w:bCs w:val="1"/>
                <w:color w:val="000000"/>
              </w:rPr>
            </w:pPr>
            <w:r w:rsidDel="00000000" w:rsidR="00000000" w:rsidRPr="00000000">
              <w:rPr>
                <w:b w:val="1"/>
                <w:bCs w:val="1"/>
                <w:color w:val="000000"/>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64">
            <w:pPr>
              <w:spacing w:after="0" w:line="240" w:lineRule="auto"/>
              <w:ind w:firstLine="0"/>
              <w:jc w:val="left"/>
              <w:rPr>
                <w:b w:val="1"/>
                <w:bCs w:val="1"/>
                <w:color w:val="000000"/>
              </w:rPr>
            </w:pPr>
            <w:r w:rsidDel="00000000" w:rsidR="00000000" w:rsidRPr="00000000">
              <w:rPr>
                <w:b w:val="1"/>
                <w:bCs w:val="1"/>
                <w:color w:val="000000"/>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65">
            <w:pPr>
              <w:spacing w:after="0" w:line="240" w:lineRule="auto"/>
              <w:ind w:firstLine="0"/>
              <w:jc w:val="left"/>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6">
            <w:pPr>
              <w:spacing w:after="0" w:line="240" w:lineRule="auto"/>
              <w:ind w:firstLine="0"/>
              <w:jc w:val="left"/>
              <w:rPr>
                <w:color w:val="000000"/>
              </w:rPr>
            </w:pPr>
            <w:r w:rsidDel="00000000" w:rsidR="00000000" w:rsidRPr="00000000">
              <w:rPr>
                <w:rtl w:val="0"/>
              </w:rPr>
            </w:r>
          </w:p>
        </w:tc>
      </w:tr>
      <w:tr>
        <w:trPr>
          <w:cantSplit w:val="0"/>
          <w:trHeight w:val="360" w:hRule="atLeast"/>
          <w:tblHeader w:val="0"/>
        </w:trPr>
        <w:tc>
          <w:tcPr>
            <w:vMerge w:val="restart"/>
            <w:tcBorders>
              <w:top w:color="000000" w:space="0" w:sz="0" w:val="nil"/>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67">
            <w:pPr>
              <w:spacing w:after="0" w:line="240" w:lineRule="auto"/>
              <w:ind w:firstLine="0"/>
              <w:jc w:val="left"/>
              <w:rPr>
                <w:b w:val="1"/>
                <w:bCs w:val="1"/>
                <w:color w:val="000000"/>
              </w:rPr>
            </w:pPr>
            <w:r w:rsidDel="00000000" w:rsidR="00000000" w:rsidRPr="00000000">
              <w:rPr>
                <w:b w:val="1"/>
                <w:bCs w:val="1"/>
                <w:color w:val="000000"/>
                <w:rtl w:val="0"/>
              </w:rPr>
              <w:t xml:space="preserve">Economic Sustainability</w:t>
            </w:r>
          </w:p>
        </w:tc>
        <w:tc>
          <w:tcPr>
            <w:vMerge w:val="restart"/>
            <w:tcBorders>
              <w:top w:color="000000" w:space="0" w:sz="0" w:val="nil"/>
              <w:left w:color="000000" w:space="0" w:sz="4" w:val="single"/>
              <w:bottom w:color="000000" w:space="0" w:sz="4" w:val="single"/>
              <w:right w:color="000000" w:space="0" w:sz="4" w:val="single"/>
            </w:tcBorders>
            <w:shd w:fill="ccffff" w:val="clear"/>
            <w:vAlign w:val="center"/>
          </w:tcPr>
          <w:p w:rsidR="00000000" w:rsidDel="00000000" w:rsidP="00000000" w:rsidRDefault="00000000" w:rsidRPr="00000000" w14:paraId="00000068">
            <w:pPr>
              <w:spacing w:after="0" w:line="240" w:lineRule="auto"/>
              <w:ind w:firstLine="0"/>
              <w:jc w:val="left"/>
              <w:rPr>
                <w:b w:val="1"/>
                <w:bCs w:val="1"/>
                <w:color w:val="000000"/>
              </w:rPr>
            </w:pPr>
            <w:r w:rsidDel="00000000" w:rsidR="00000000" w:rsidRPr="00000000">
              <w:rPr>
                <w:b w:val="1"/>
                <w:bCs w:val="1"/>
                <w:color w:val="000000"/>
                <w:rtl w:val="0"/>
              </w:rPr>
              <w:t xml:space="preserve">Return on Investment</w:t>
            </w:r>
          </w:p>
        </w:tc>
        <w:tc>
          <w:tcPr>
            <w:tcBorders>
              <w:top w:color="000000" w:space="0" w:sz="0" w:val="nil"/>
              <w:left w:color="000000" w:space="0" w:sz="0" w:val="nil"/>
              <w:bottom w:color="000000" w:space="0" w:sz="4" w:val="single"/>
              <w:right w:color="000000" w:space="0" w:sz="4" w:val="single"/>
            </w:tcBorders>
            <w:shd w:fill="ccffff" w:val="clear"/>
            <w:vAlign w:val="center"/>
          </w:tcPr>
          <w:p w:rsidR="00000000" w:rsidDel="00000000" w:rsidP="00000000" w:rsidRDefault="00000000" w:rsidRPr="00000000" w14:paraId="00000069">
            <w:pPr>
              <w:spacing w:after="0" w:line="240" w:lineRule="auto"/>
              <w:ind w:firstLine="0"/>
              <w:jc w:val="left"/>
              <w:rPr>
                <w:color w:val="000000"/>
              </w:rPr>
            </w:pPr>
            <w:r w:rsidDel="00000000" w:rsidR="00000000" w:rsidRPr="00000000">
              <w:rPr>
                <w:color w:val="000000"/>
                <w:rtl w:val="0"/>
              </w:rPr>
              <w:t xml:space="preserve">Post-occupancy Income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A">
            <w:pPr>
              <w:spacing w:after="0" w:line="240" w:lineRule="auto"/>
              <w:ind w:firstLine="0"/>
              <w:jc w:val="center"/>
              <w:rPr>
                <w:color w:val="000000"/>
              </w:rPr>
            </w:pPr>
            <w:r w:rsidDel="00000000" w:rsidR="00000000" w:rsidRPr="00000000">
              <w:rPr>
                <w:color w:val="000000"/>
                <w:rtl w:val="0"/>
              </w:rPr>
              <w:t xml:space="preserve">C16</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ccffff"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cffff" w:val="clear"/>
            <w:vAlign w:val="center"/>
          </w:tcPr>
          <w:p w:rsidR="00000000" w:rsidDel="00000000" w:rsidP="00000000" w:rsidRDefault="00000000" w:rsidRPr="00000000" w14:paraId="0000006D">
            <w:pPr>
              <w:spacing w:after="0" w:line="240" w:lineRule="auto"/>
              <w:ind w:firstLine="0"/>
              <w:jc w:val="left"/>
              <w:rPr>
                <w:color w:val="000000"/>
              </w:rPr>
            </w:pPr>
            <w:r w:rsidDel="00000000" w:rsidR="00000000" w:rsidRPr="00000000">
              <w:rPr>
                <w:color w:val="000000"/>
                <w:rtl w:val="0"/>
              </w:rPr>
              <w:t xml:space="preserve">Initial Investment Cost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ind w:firstLine="0"/>
              <w:jc w:val="center"/>
              <w:rPr>
                <w:color w:val="000000"/>
              </w:rPr>
            </w:pPr>
            <w:r w:rsidDel="00000000" w:rsidR="00000000" w:rsidRPr="00000000">
              <w:rPr>
                <w:color w:val="000000"/>
                <w:rtl w:val="0"/>
              </w:rPr>
              <w:t xml:space="preserve">C17</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ccffff"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cffff" w:val="clear"/>
            <w:vAlign w:val="center"/>
          </w:tcPr>
          <w:p w:rsidR="00000000" w:rsidDel="00000000" w:rsidP="00000000" w:rsidRDefault="00000000" w:rsidRPr="00000000" w14:paraId="00000071">
            <w:pPr>
              <w:spacing w:after="0" w:line="240" w:lineRule="auto"/>
              <w:ind w:firstLine="0"/>
              <w:jc w:val="left"/>
              <w:rPr>
                <w:color w:val="000000"/>
              </w:rPr>
            </w:pPr>
            <w:r w:rsidDel="00000000" w:rsidR="00000000" w:rsidRPr="00000000">
              <w:rPr>
                <w:color w:val="000000"/>
                <w:rtl w:val="0"/>
              </w:rPr>
              <w:t xml:space="preserve">Risk of Unexpected Cost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spacing w:after="0" w:line="240" w:lineRule="auto"/>
              <w:ind w:firstLine="0"/>
              <w:jc w:val="center"/>
              <w:rPr>
                <w:color w:val="000000"/>
              </w:rPr>
            </w:pPr>
            <w:r w:rsidDel="00000000" w:rsidR="00000000" w:rsidRPr="00000000">
              <w:rPr>
                <w:color w:val="000000"/>
                <w:rtl w:val="0"/>
              </w:rPr>
              <w:t xml:space="preserve">C18</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ccffff"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cffff" w:val="clear"/>
            <w:vAlign w:val="center"/>
          </w:tcPr>
          <w:p w:rsidR="00000000" w:rsidDel="00000000" w:rsidP="00000000" w:rsidRDefault="00000000" w:rsidRPr="00000000" w14:paraId="00000075">
            <w:pPr>
              <w:spacing w:after="0" w:line="240" w:lineRule="auto"/>
              <w:ind w:firstLine="0"/>
              <w:jc w:val="left"/>
              <w:rPr>
                <w:color w:val="000000"/>
              </w:rPr>
            </w:pPr>
            <w:r w:rsidDel="00000000" w:rsidR="00000000" w:rsidRPr="00000000">
              <w:rPr>
                <w:color w:val="000000"/>
                <w:rtl w:val="0"/>
              </w:rPr>
              <w:t xml:space="preserve">Increased Property Value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6">
            <w:pPr>
              <w:spacing w:after="0" w:line="240" w:lineRule="auto"/>
              <w:ind w:firstLine="0"/>
              <w:jc w:val="center"/>
              <w:rPr>
                <w:color w:val="000000"/>
              </w:rPr>
            </w:pPr>
            <w:r w:rsidDel="00000000" w:rsidR="00000000" w:rsidRPr="00000000">
              <w:rPr>
                <w:color w:val="000000"/>
                <w:rtl w:val="0"/>
              </w:rPr>
              <w:t xml:space="preserve">C19</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78">
            <w:pPr>
              <w:spacing w:after="0" w:line="240" w:lineRule="auto"/>
              <w:ind w:firstLine="0"/>
              <w:jc w:val="left"/>
              <w:rPr>
                <w:b w:val="1"/>
                <w:bCs w:val="1"/>
                <w:color w:val="000000"/>
              </w:rPr>
            </w:pPr>
            <w:r w:rsidDel="00000000" w:rsidR="00000000" w:rsidRPr="00000000">
              <w:rPr>
                <w:b w:val="1"/>
                <w:bCs w:val="1"/>
                <w:color w:val="000000"/>
                <w:rtl w:val="0"/>
              </w:rPr>
              <w:t xml:space="preserve">Cost Savings</w:t>
            </w:r>
          </w:p>
        </w:tc>
        <w:tc>
          <w:tcPr>
            <w:tcBorders>
              <w:top w:color="000000" w:space="0" w:sz="0" w:val="nil"/>
              <w:left w:color="000000" w:space="0" w:sz="0" w:val="nil"/>
              <w:bottom w:color="000000" w:space="0" w:sz="4" w:val="single"/>
              <w:right w:color="000000" w:space="0" w:sz="4" w:val="single"/>
            </w:tcBorders>
            <w:shd w:fill="ccffff" w:val="clear"/>
            <w:vAlign w:val="center"/>
          </w:tcPr>
          <w:p w:rsidR="00000000" w:rsidDel="00000000" w:rsidP="00000000" w:rsidRDefault="00000000" w:rsidRPr="00000000" w14:paraId="00000079">
            <w:pPr>
              <w:spacing w:after="0" w:line="240" w:lineRule="auto"/>
              <w:ind w:firstLine="0"/>
              <w:jc w:val="left"/>
              <w:rPr>
                <w:color w:val="000000"/>
              </w:rPr>
            </w:pPr>
            <w:r w:rsidDel="00000000" w:rsidR="00000000" w:rsidRPr="00000000">
              <w:rPr>
                <w:color w:val="000000"/>
                <w:rtl w:val="0"/>
              </w:rPr>
              <w:t xml:space="preserve">Financial incentives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A">
            <w:pPr>
              <w:spacing w:after="0" w:line="240" w:lineRule="auto"/>
              <w:ind w:firstLine="0"/>
              <w:jc w:val="center"/>
              <w:rPr>
                <w:color w:val="000000"/>
              </w:rPr>
            </w:pPr>
            <w:r w:rsidDel="00000000" w:rsidR="00000000" w:rsidRPr="00000000">
              <w:rPr>
                <w:color w:val="000000"/>
                <w:rtl w:val="0"/>
              </w:rPr>
              <w:t xml:space="preserve">C20</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cffff" w:val="clear"/>
            <w:vAlign w:val="center"/>
          </w:tcPr>
          <w:p w:rsidR="00000000" w:rsidDel="00000000" w:rsidP="00000000" w:rsidRDefault="00000000" w:rsidRPr="00000000" w14:paraId="0000007D">
            <w:pPr>
              <w:spacing w:after="0" w:line="240" w:lineRule="auto"/>
              <w:ind w:firstLine="0"/>
              <w:jc w:val="left"/>
              <w:rPr>
                <w:color w:val="000000"/>
              </w:rPr>
            </w:pPr>
            <w:r w:rsidDel="00000000" w:rsidR="00000000" w:rsidRPr="00000000">
              <w:rPr>
                <w:color w:val="000000"/>
                <w:rtl w:val="0"/>
              </w:rPr>
              <w:t xml:space="preserve">Whole Life Cycle Cost Savings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E">
            <w:pPr>
              <w:spacing w:after="0" w:line="240" w:lineRule="auto"/>
              <w:ind w:firstLine="0"/>
              <w:jc w:val="center"/>
              <w:rPr>
                <w:color w:val="000000"/>
              </w:rPr>
            </w:pPr>
            <w:r w:rsidDel="00000000" w:rsidR="00000000" w:rsidRPr="00000000">
              <w:rPr>
                <w:color w:val="000000"/>
                <w:rtl w:val="0"/>
              </w:rPr>
              <w:t xml:space="preserve">C21</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4" w:val="single"/>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80">
            <w:pPr>
              <w:spacing w:after="0" w:line="240" w:lineRule="auto"/>
              <w:ind w:firstLine="0"/>
              <w:jc w:val="left"/>
              <w:rPr>
                <w:b w:val="1"/>
                <w:bCs w:val="1"/>
                <w:color w:val="000000"/>
              </w:rPr>
            </w:pPr>
            <w:r w:rsidDel="00000000" w:rsidR="00000000" w:rsidRPr="00000000">
              <w:rPr>
                <w:b w:val="1"/>
                <w:bCs w:val="1"/>
                <w:color w:val="000000"/>
                <w:rtl w:val="0"/>
              </w:rPr>
              <w:t xml:space="preserve">Social Economy</w:t>
            </w:r>
          </w:p>
        </w:tc>
        <w:tc>
          <w:tcPr>
            <w:tcBorders>
              <w:top w:color="000000" w:space="0" w:sz="0" w:val="nil"/>
              <w:left w:color="000000" w:space="0" w:sz="0" w:val="nil"/>
              <w:bottom w:color="000000" w:space="0" w:sz="4" w:val="single"/>
              <w:right w:color="000000" w:space="0" w:sz="4" w:val="single"/>
            </w:tcBorders>
            <w:shd w:fill="ccffff" w:val="clear"/>
            <w:vAlign w:val="center"/>
          </w:tcPr>
          <w:p w:rsidR="00000000" w:rsidDel="00000000" w:rsidP="00000000" w:rsidRDefault="00000000" w:rsidRPr="00000000" w14:paraId="00000081">
            <w:pPr>
              <w:spacing w:after="0" w:line="240" w:lineRule="auto"/>
              <w:ind w:firstLine="0"/>
              <w:jc w:val="left"/>
              <w:rPr>
                <w:color w:val="000000"/>
              </w:rPr>
            </w:pPr>
            <w:r w:rsidDel="00000000" w:rsidR="00000000" w:rsidRPr="00000000">
              <w:rPr>
                <w:color w:val="000000"/>
                <w:rtl w:val="0"/>
              </w:rPr>
              <w:t xml:space="preserve">Job Creation Potential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2">
            <w:pPr>
              <w:spacing w:after="0" w:line="240" w:lineRule="auto"/>
              <w:ind w:firstLine="0"/>
              <w:jc w:val="center"/>
              <w:rPr>
                <w:color w:val="000000"/>
              </w:rPr>
            </w:pPr>
            <w:r w:rsidDel="00000000" w:rsidR="00000000" w:rsidRPr="00000000">
              <w:rPr>
                <w:color w:val="000000"/>
                <w:rtl w:val="0"/>
              </w:rPr>
              <w:t xml:space="preserve">C22</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shd w:fill="ccffff"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ccffff" w:val="clear"/>
            <w:vAlign w:val="center"/>
          </w:tcPr>
          <w:p w:rsidR="00000000" w:rsidDel="00000000" w:rsidP="00000000" w:rsidRDefault="00000000" w:rsidRPr="00000000" w14:paraId="00000085">
            <w:pPr>
              <w:spacing w:after="0" w:line="240" w:lineRule="auto"/>
              <w:ind w:firstLine="0"/>
              <w:jc w:val="left"/>
              <w:rPr>
                <w:color w:val="000000"/>
              </w:rPr>
            </w:pPr>
            <w:r w:rsidDel="00000000" w:rsidR="00000000" w:rsidRPr="00000000">
              <w:rPr>
                <w:color w:val="000000"/>
                <w:rtl w:val="0"/>
              </w:rPr>
              <w:t xml:space="preserve">Heritage-Driven Tourism Potential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after="0" w:line="240" w:lineRule="auto"/>
              <w:ind w:firstLine="0"/>
              <w:jc w:val="center"/>
              <w:rPr>
                <w:color w:val="000000"/>
              </w:rPr>
            </w:pPr>
            <w:r w:rsidDel="00000000" w:rsidR="00000000" w:rsidRPr="00000000">
              <w:rPr>
                <w:color w:val="000000"/>
                <w:rtl w:val="0"/>
              </w:rPr>
              <w:t xml:space="preserve">C23</w:t>
            </w:r>
          </w:p>
        </w:tc>
      </w:tr>
      <w:tr>
        <w:trPr>
          <w:cantSplit w:val="0"/>
          <w:trHeight w:val="120"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87">
            <w:pPr>
              <w:spacing w:after="0" w:line="240" w:lineRule="auto"/>
              <w:ind w:firstLine="0"/>
              <w:jc w:val="left"/>
              <w:rPr>
                <w:b w:val="1"/>
                <w:bCs w:val="1"/>
                <w:color w:val="000000"/>
              </w:rPr>
            </w:pPr>
            <w:r w:rsidDel="00000000" w:rsidR="00000000" w:rsidRPr="00000000">
              <w:rPr>
                <w:b w:val="1"/>
                <w:bCs w:val="1"/>
                <w:color w:val="000000"/>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88">
            <w:pPr>
              <w:spacing w:after="0" w:line="240" w:lineRule="auto"/>
              <w:ind w:firstLine="0"/>
              <w:jc w:val="left"/>
              <w:rPr>
                <w:b w:val="1"/>
                <w:bCs w:val="1"/>
                <w:color w:val="000000"/>
              </w:rPr>
            </w:pPr>
            <w:r w:rsidDel="00000000" w:rsidR="00000000" w:rsidRPr="00000000">
              <w:rPr>
                <w:b w:val="1"/>
                <w:bCs w:val="1"/>
                <w:color w:val="000000"/>
                <w:rtl w:val="0"/>
              </w:rPr>
              <w:t xml:space="preserve">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89">
            <w:pPr>
              <w:spacing w:after="0" w:line="240" w:lineRule="auto"/>
              <w:ind w:firstLine="0"/>
              <w:jc w:val="left"/>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A">
            <w:pPr>
              <w:spacing w:after="0" w:line="240" w:lineRule="auto"/>
              <w:ind w:firstLine="0"/>
              <w:jc w:val="left"/>
              <w:rPr>
                <w:color w:val="000000"/>
              </w:rPr>
            </w:pPr>
            <w:r w:rsidDel="00000000" w:rsidR="00000000" w:rsidRPr="00000000">
              <w:rPr>
                <w:rtl w:val="0"/>
              </w:rPr>
            </w:r>
          </w:p>
        </w:tc>
      </w:tr>
      <w:tr>
        <w:trPr>
          <w:cantSplit w:val="0"/>
          <w:trHeight w:val="360" w:hRule="atLeast"/>
          <w:tblHeader w:val="0"/>
        </w:trPr>
        <w:tc>
          <w:tcPr>
            <w:vMerge w:val="restart"/>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8B">
            <w:pPr>
              <w:spacing w:after="0" w:line="240" w:lineRule="auto"/>
              <w:ind w:firstLine="0"/>
              <w:jc w:val="left"/>
              <w:rPr>
                <w:b w:val="1"/>
                <w:bCs w:val="1"/>
                <w:color w:val="000000"/>
              </w:rPr>
            </w:pPr>
            <w:r w:rsidDel="00000000" w:rsidR="00000000" w:rsidRPr="00000000">
              <w:rPr>
                <w:b w:val="1"/>
                <w:bCs w:val="1"/>
                <w:color w:val="000000"/>
                <w:rtl w:val="0"/>
              </w:rPr>
              <w:t xml:space="preserve">Seismic Resilience</w:t>
            </w:r>
          </w:p>
        </w:tc>
        <w:tc>
          <w:tcPr>
            <w:vMerge w:val="restart"/>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8C">
            <w:pPr>
              <w:spacing w:after="0" w:line="240" w:lineRule="auto"/>
              <w:ind w:firstLine="0"/>
              <w:jc w:val="left"/>
              <w:rPr>
                <w:b w:val="1"/>
                <w:bCs w:val="1"/>
                <w:color w:val="000000"/>
              </w:rPr>
            </w:pPr>
            <w:r w:rsidDel="00000000" w:rsidR="00000000" w:rsidRPr="00000000">
              <w:rPr>
                <w:b w:val="1"/>
                <w:bCs w:val="1"/>
                <w:color w:val="000000"/>
                <w:rtl w:val="0"/>
              </w:rPr>
              <w:t xml:space="preserve">Seismic Resilience of the Town Centre</w:t>
            </w:r>
          </w:p>
        </w:tc>
        <w:tc>
          <w:tcPr>
            <w:tcBorders>
              <w:top w:color="000000" w:space="0" w:sz="0" w:val="nil"/>
              <w:left w:color="000000" w:space="0" w:sz="0" w:val="nil"/>
              <w:bottom w:color="000000" w:space="0" w:sz="4" w:val="single"/>
              <w:right w:color="000000" w:space="0" w:sz="4" w:val="single"/>
            </w:tcBorders>
            <w:shd w:fill="66ffff" w:val="clear"/>
            <w:vAlign w:val="center"/>
          </w:tcPr>
          <w:p w:rsidR="00000000" w:rsidDel="00000000" w:rsidP="00000000" w:rsidRDefault="00000000" w:rsidRPr="00000000" w14:paraId="0000008D">
            <w:pPr>
              <w:spacing w:after="0" w:line="240" w:lineRule="auto"/>
              <w:ind w:firstLine="0"/>
              <w:jc w:val="left"/>
              <w:rPr>
                <w:color w:val="000000"/>
              </w:rPr>
            </w:pPr>
            <w:r w:rsidDel="00000000" w:rsidR="00000000" w:rsidRPr="00000000">
              <w:rPr>
                <w:color w:val="000000"/>
                <w:rtl w:val="0"/>
              </w:rPr>
              <w:t xml:space="preserve">Safeness of Evacuation Roads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E">
            <w:pPr>
              <w:spacing w:after="0" w:line="240" w:lineRule="auto"/>
              <w:ind w:firstLine="0"/>
              <w:jc w:val="center"/>
              <w:rPr>
                <w:color w:val="000000"/>
              </w:rPr>
            </w:pPr>
            <w:r w:rsidDel="00000000" w:rsidR="00000000" w:rsidRPr="00000000">
              <w:rPr>
                <w:color w:val="000000"/>
                <w:rtl w:val="0"/>
              </w:rPr>
              <w:t xml:space="preserve">C24</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66ffff" w:val="clear"/>
            <w:vAlign w:val="center"/>
          </w:tcPr>
          <w:p w:rsidR="00000000" w:rsidDel="00000000" w:rsidP="00000000" w:rsidRDefault="00000000" w:rsidRPr="00000000" w14:paraId="00000091">
            <w:pPr>
              <w:spacing w:after="0" w:line="240" w:lineRule="auto"/>
              <w:ind w:firstLine="0"/>
              <w:jc w:val="left"/>
              <w:rPr>
                <w:color w:val="000000"/>
              </w:rPr>
            </w:pPr>
            <w:r w:rsidDel="00000000" w:rsidR="00000000" w:rsidRPr="00000000">
              <w:rPr>
                <w:color w:val="000000"/>
                <w:rtl w:val="0"/>
              </w:rPr>
              <w:t xml:space="preserve">Overall Seismic Strength of the Buildings in the CBD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spacing w:after="0" w:line="240" w:lineRule="auto"/>
              <w:ind w:firstLine="0"/>
              <w:jc w:val="center"/>
              <w:rPr>
                <w:color w:val="000000"/>
              </w:rPr>
            </w:pPr>
            <w:r w:rsidDel="00000000" w:rsidR="00000000" w:rsidRPr="00000000">
              <w:rPr>
                <w:color w:val="000000"/>
                <w:rtl w:val="0"/>
              </w:rPr>
              <w:t xml:space="preserve">C25</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94">
            <w:pPr>
              <w:spacing w:after="0" w:line="240" w:lineRule="auto"/>
              <w:ind w:firstLine="0"/>
              <w:jc w:val="left"/>
              <w:rPr>
                <w:b w:val="1"/>
                <w:bCs w:val="1"/>
                <w:color w:val="000000"/>
              </w:rPr>
            </w:pPr>
            <w:r w:rsidDel="00000000" w:rsidR="00000000" w:rsidRPr="00000000">
              <w:rPr>
                <w:b w:val="1"/>
                <w:bCs w:val="1"/>
                <w:color w:val="000000"/>
                <w:rtl w:val="0"/>
              </w:rPr>
              <w:t xml:space="preserve">Building Seismic Resilience</w:t>
            </w:r>
          </w:p>
        </w:tc>
        <w:tc>
          <w:tcPr>
            <w:tcBorders>
              <w:top w:color="000000" w:space="0" w:sz="0" w:val="nil"/>
              <w:left w:color="000000" w:space="0" w:sz="0" w:val="nil"/>
              <w:bottom w:color="000000" w:space="0" w:sz="4" w:val="single"/>
              <w:right w:color="000000" w:space="0" w:sz="4" w:val="single"/>
            </w:tcBorders>
            <w:shd w:fill="66ffff" w:val="clear"/>
            <w:vAlign w:val="center"/>
          </w:tcPr>
          <w:p w:rsidR="00000000" w:rsidDel="00000000" w:rsidP="00000000" w:rsidRDefault="00000000" w:rsidRPr="00000000" w14:paraId="00000095">
            <w:pPr>
              <w:spacing w:after="0" w:line="240" w:lineRule="auto"/>
              <w:ind w:firstLine="0"/>
              <w:jc w:val="left"/>
              <w:rPr>
                <w:color w:val="000000"/>
              </w:rPr>
            </w:pPr>
            <w:r w:rsidDel="00000000" w:rsidR="00000000" w:rsidRPr="00000000">
              <w:rPr>
                <w:color w:val="000000"/>
                <w:rtl w:val="0"/>
              </w:rPr>
              <w:t xml:space="preserve">Seismic Resilience to Prevent Injury, Death or Property Damage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6">
            <w:pPr>
              <w:spacing w:after="0" w:line="240" w:lineRule="auto"/>
              <w:ind w:firstLine="0"/>
              <w:jc w:val="center"/>
              <w:rPr>
                <w:color w:val="000000"/>
              </w:rPr>
            </w:pPr>
            <w:r w:rsidDel="00000000" w:rsidR="00000000" w:rsidRPr="00000000">
              <w:rPr>
                <w:color w:val="000000"/>
                <w:rtl w:val="0"/>
              </w:rPr>
              <w:t xml:space="preserve">C26</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66ffff" w:val="clear"/>
            <w:vAlign w:val="center"/>
          </w:tcPr>
          <w:p w:rsidR="00000000" w:rsidDel="00000000" w:rsidP="00000000" w:rsidRDefault="00000000" w:rsidRPr="00000000" w14:paraId="00000099">
            <w:pPr>
              <w:spacing w:after="0" w:line="240" w:lineRule="auto"/>
              <w:ind w:firstLine="0"/>
              <w:jc w:val="left"/>
              <w:rPr>
                <w:color w:val="000000"/>
              </w:rPr>
            </w:pPr>
            <w:r w:rsidDel="00000000" w:rsidR="00000000" w:rsidRPr="00000000">
              <w:rPr>
                <w:color w:val="000000"/>
                <w:rtl w:val="0"/>
              </w:rPr>
              <w:t xml:space="preserve">Functionality and Usability Following a Major Earthquake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A">
            <w:pPr>
              <w:spacing w:after="0" w:line="240" w:lineRule="auto"/>
              <w:ind w:firstLine="0"/>
              <w:jc w:val="center"/>
              <w:rPr>
                <w:color w:val="000000"/>
              </w:rPr>
            </w:pPr>
            <w:r w:rsidDel="00000000" w:rsidR="00000000" w:rsidRPr="00000000">
              <w:rPr>
                <w:color w:val="000000"/>
                <w:rtl w:val="0"/>
              </w:rPr>
              <w:t xml:space="preserve">C27</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66ffff" w:val="clear"/>
            <w:vAlign w:val="center"/>
          </w:tcPr>
          <w:p w:rsidR="00000000" w:rsidDel="00000000" w:rsidP="00000000" w:rsidRDefault="00000000" w:rsidRPr="00000000" w14:paraId="0000009D">
            <w:pPr>
              <w:spacing w:after="0" w:line="240" w:lineRule="auto"/>
              <w:ind w:firstLine="0"/>
              <w:jc w:val="left"/>
              <w:rPr>
                <w:color w:val="000000"/>
              </w:rPr>
            </w:pPr>
            <w:r w:rsidDel="00000000" w:rsidR="00000000" w:rsidRPr="00000000">
              <w:rPr>
                <w:color w:val="000000"/>
                <w:rtl w:val="0"/>
              </w:rPr>
              <w:t xml:space="preserve">Seamless Seismic Solutions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E">
            <w:pPr>
              <w:spacing w:after="0" w:line="240" w:lineRule="auto"/>
              <w:ind w:firstLine="0"/>
              <w:jc w:val="center"/>
              <w:rPr>
                <w:color w:val="000000"/>
              </w:rPr>
            </w:pPr>
            <w:r w:rsidDel="00000000" w:rsidR="00000000" w:rsidRPr="00000000">
              <w:rPr>
                <w:color w:val="000000"/>
                <w:rtl w:val="0"/>
              </w:rPr>
              <w:t xml:space="preserve">C28</w:t>
            </w:r>
          </w:p>
        </w:tc>
      </w:tr>
      <w:tr>
        <w:trPr>
          <w:cantSplit w:val="0"/>
          <w:trHeight w:val="360" w:hRule="atLeast"/>
          <w:tblHeader w:val="0"/>
        </w:trPr>
        <w:tc>
          <w:tcPr>
            <w:vMerge w:val="continue"/>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66ffff"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66ffff" w:val="clear"/>
            <w:vAlign w:val="center"/>
          </w:tcPr>
          <w:p w:rsidR="00000000" w:rsidDel="00000000" w:rsidP="00000000" w:rsidRDefault="00000000" w:rsidRPr="00000000" w14:paraId="000000A1">
            <w:pPr>
              <w:spacing w:after="0" w:line="240" w:lineRule="auto"/>
              <w:ind w:firstLine="0"/>
              <w:jc w:val="left"/>
              <w:rPr>
                <w:color w:val="000000"/>
              </w:rPr>
            </w:pPr>
            <w:r w:rsidDel="00000000" w:rsidR="00000000" w:rsidRPr="00000000">
              <w:rPr>
                <w:color w:val="000000"/>
                <w:rtl w:val="0"/>
              </w:rPr>
              <w:t xml:space="preserve">Quality and the Technology of the Added Structural Elements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2">
            <w:pPr>
              <w:spacing w:after="0" w:line="240" w:lineRule="auto"/>
              <w:ind w:firstLine="0"/>
              <w:jc w:val="center"/>
              <w:rPr>
                <w:color w:val="000000"/>
              </w:rPr>
            </w:pPr>
            <w:r w:rsidDel="00000000" w:rsidR="00000000" w:rsidRPr="00000000">
              <w:rPr>
                <w:color w:val="000000"/>
                <w:rtl w:val="0"/>
              </w:rPr>
              <w:t xml:space="preserve">C29</w:t>
            </w:r>
          </w:p>
        </w:tc>
      </w:tr>
    </w:tbl>
    <w:p w:rsidR="00000000" w:rsidDel="00000000" w:rsidP="00000000" w:rsidRDefault="00000000" w:rsidRPr="00000000" w14:paraId="000000A3">
      <w:pPr>
        <w:rPr>
          <w:highlight w:val="green"/>
        </w:rPr>
      </w:pPr>
      <w:r w:rsidDel="00000000" w:rsidR="00000000" w:rsidRPr="00000000">
        <w:rPr>
          <w:rtl w:val="0"/>
        </w:rPr>
      </w:r>
    </w:p>
    <w:p w:rsidR="00000000" w:rsidDel="00000000" w:rsidP="00000000" w:rsidRDefault="00000000" w:rsidRPr="00000000" w14:paraId="000000A4">
      <w:pPr>
        <w:pStyle w:val="Heading1"/>
        <w:numPr>
          <w:ilvl w:val="0"/>
          <w:numId w:val="1"/>
        </w:numPr>
        <w:ind w:left="432" w:hanging="432"/>
        <w:rPr/>
      </w:pPr>
      <w:r w:rsidDel="00000000" w:rsidR="00000000" w:rsidRPr="00000000">
        <w:rPr>
          <w:rtl w:val="0"/>
        </w:rPr>
        <w:t xml:space="preserve">Cultural Heritage in Sustainable Resource Management and Climate Action</w:t>
      </w:r>
    </w:p>
    <w:p w:rsidR="00000000" w:rsidDel="00000000" w:rsidP="00000000" w:rsidRDefault="00000000" w:rsidRPr="00000000" w14:paraId="000000A5">
      <w:pPr>
        <w:pStyle w:val="Heading2"/>
        <w:numPr>
          <w:ilvl w:val="1"/>
          <w:numId w:val="1"/>
        </w:numPr>
        <w:ind w:left="576" w:hanging="576"/>
        <w:rPr/>
      </w:pPr>
      <w:r w:rsidDel="00000000" w:rsidR="00000000" w:rsidRPr="00000000">
        <w:rPr>
          <w:rtl w:val="0"/>
        </w:rPr>
        <w:t xml:space="preserve">Environmental Sustainability</w:t>
      </w:r>
    </w:p>
    <w:p w:rsidR="00000000" w:rsidDel="00000000" w:rsidP="00000000" w:rsidRDefault="00000000" w:rsidRPr="00000000" w14:paraId="000000A6">
      <w:pPr>
        <w:ind w:left="0" w:firstLine="0"/>
        <w:rPr>
          <w:highlight w:val="cyan"/>
        </w:rPr>
      </w:pPr>
      <w:r w:rsidDel="00000000" w:rsidR="00000000" w:rsidRPr="00000000">
        <w:rPr>
          <w:rtl w:val="0"/>
        </w:rPr>
        <w:t xml:space="preserve">The conservation of heritage buildings is inherently a sustainable practice, as their primary objective is to extend the physical lifespan of existing structures. This approach aligns directly with Sustainable Development Goal  (SDG) 12, which focuses on "Ensuring sustainable consumption and production patterns”, a relationship formally recognised by the International Council on Monuments and Sites (Labadi et al., 2021; United Nations, 2015).</w:t>
      </w:r>
      <w:r w:rsidDel="00000000" w:rsidR="00000000" w:rsidRPr="00000000">
        <w:rPr>
          <w:rtl w:val="0"/>
        </w:rPr>
      </w:r>
    </w:p>
    <w:p w:rsidR="00000000" w:rsidDel="00000000" w:rsidP="00000000" w:rsidRDefault="00000000" w:rsidRPr="00000000" w14:paraId="000000A7">
      <w:pPr>
        <w:ind w:left="0" w:firstLine="0"/>
        <w:rPr/>
      </w:pPr>
      <w:r w:rsidDel="00000000" w:rsidR="00000000" w:rsidRPr="00000000">
        <w:rPr>
          <w:rtl w:val="0"/>
        </w:rPr>
        <w:t xml:space="preserve">The environmental dimensions of heritage conservation have been the subject of academic research. Most academic work views heritage conservation as an environmentally friendly practice because it decreases carbon footprints by salvaging materials and embodied energy. Reuse of buildings also prevents the creation of waste resulting from demolition. Furthermore, refurbishing these structures provides a chance to enhance their operational energy efficiency (Langston, 2008; Mohamed et al., 2017; Paschoalin et al., 2023; Rypkema, 2021; Wise et al., 2019). Research in this field primarily examines three pillars: </w:t>
      </w:r>
      <w:r w:rsidDel="00000000" w:rsidR="00000000" w:rsidRPr="00000000">
        <w:rPr>
          <w:b w:val="1"/>
          <w:bCs w:val="1"/>
          <w:rtl w:val="0"/>
        </w:rPr>
        <w:t xml:space="preserve">energy</w:t>
      </w:r>
      <w:r w:rsidDel="00000000" w:rsidR="00000000" w:rsidRPr="00000000">
        <w:rPr>
          <w:rtl w:val="0"/>
        </w:rPr>
        <w:t xml:space="preserve">, </w:t>
      </w:r>
      <w:r w:rsidDel="00000000" w:rsidR="00000000" w:rsidRPr="00000000">
        <w:rPr>
          <w:b w:val="1"/>
          <w:bCs w:val="1"/>
          <w:rtl w:val="0"/>
        </w:rPr>
        <w:t xml:space="preserve">physical life</w:t>
      </w:r>
      <w:r w:rsidDel="00000000" w:rsidR="00000000" w:rsidRPr="00000000">
        <w:rPr>
          <w:rtl w:val="0"/>
        </w:rPr>
        <w:t xml:space="preserve">, and </w:t>
      </w:r>
      <w:r w:rsidDel="00000000" w:rsidR="00000000" w:rsidRPr="00000000">
        <w:rPr>
          <w:b w:val="1"/>
          <w:bCs w:val="1"/>
          <w:rtl w:val="0"/>
        </w:rPr>
        <w:t xml:space="preserve">construction materials</w:t>
      </w:r>
      <w:r w:rsidDel="00000000" w:rsidR="00000000" w:rsidRPr="00000000">
        <w:rPr>
          <w:rtl w:val="0"/>
        </w:rPr>
        <w:t xml:space="preserve">.</w:t>
      </w:r>
    </w:p>
    <w:p w:rsidR="00000000" w:rsidDel="00000000" w:rsidP="00000000" w:rsidRDefault="00000000" w:rsidRPr="00000000" w14:paraId="000000A8">
      <w:pPr>
        <w:pStyle w:val="Heading5"/>
        <w:rPr/>
      </w:pPr>
      <w:r w:rsidDel="00000000" w:rsidR="00000000" w:rsidRPr="00000000">
        <w:rPr>
          <w:rtl w:val="0"/>
        </w:rPr>
        <w:t xml:space="preserve">Energy</w:t>
      </w:r>
    </w:p>
    <w:p w:rsidR="00000000" w:rsidDel="00000000" w:rsidP="00000000" w:rsidRDefault="00000000" w:rsidRPr="00000000" w14:paraId="000000A9">
      <w:pPr>
        <w:ind w:left="0" w:firstLine="0"/>
        <w:rPr/>
      </w:pPr>
      <w:r w:rsidDel="00000000" w:rsidR="00000000" w:rsidRPr="00000000">
        <w:rPr>
          <w:rtl w:val="0"/>
        </w:rPr>
        <w:t xml:space="preserve">A building's energy footprint is categorised into three segments: embodied energy, recurring embodied energy and operational energy.</w:t>
      </w:r>
    </w:p>
    <w:p w:rsidR="00000000" w:rsidDel="00000000" w:rsidP="00000000" w:rsidRDefault="00000000" w:rsidRPr="00000000" w14:paraId="000000AA">
      <w:pPr>
        <w:ind w:left="0" w:firstLine="0"/>
        <w:rPr/>
      </w:pPr>
      <w:r w:rsidDel="00000000" w:rsidR="00000000" w:rsidRPr="00000000">
        <w:rPr>
          <w:b w:val="1"/>
          <w:bCs w:val="1"/>
          <w:rtl w:val="0"/>
        </w:rPr>
        <w:t xml:space="preserve">Embodied energy</w:t>
      </w:r>
      <w:r w:rsidDel="00000000" w:rsidR="00000000" w:rsidRPr="00000000">
        <w:rPr>
          <w:rtl w:val="0"/>
        </w:rPr>
        <w:t xml:space="preserve"> represents the total energy consumed to produce the building. This encompasses the energy used in mining, manufacturing, and transporting those materials, as well as the economic services that support these various processes (Crawford &amp; Hall, 2020). By repurposing an existing structure, adaptive reuse requires fewer materials to create the necessary spaces, though the refurbishment phase will still have environmental impacts.</w:t>
      </w:r>
    </w:p>
    <w:p w:rsidR="00000000" w:rsidDel="00000000" w:rsidP="00000000" w:rsidRDefault="00000000" w:rsidRPr="00000000" w14:paraId="000000AB">
      <w:pPr>
        <w:ind w:left="0" w:firstLine="0"/>
        <w:rPr/>
      </w:pPr>
      <w:r w:rsidDel="00000000" w:rsidR="00000000" w:rsidRPr="00000000">
        <w:rPr>
          <w:rtl w:val="0"/>
        </w:rPr>
        <w:t xml:space="preserve">Research by Duffy et al. (2019) based in the UK indicates that initial embodied energy accounts for 28% to 31% of the lifecycle emissions for a new building. Crawford (2014) states that a typical Australian veneer brick house’s initial embodied energy represents approximately 37% of its total energy consumption over a 50-year lifespan. Furthermore, Itard and Klunder’s research (2007) shows that the energy required for initial construction is equivalent to ten to eighteen years of a building's operational energy use. Consequently, it is reasonable to conclude that nearly one-third of the total energy used during a building’s life is consumed during its original construction.</w:t>
      </w:r>
    </w:p>
    <w:p w:rsidR="00000000" w:rsidDel="00000000" w:rsidP="00000000" w:rsidRDefault="00000000" w:rsidRPr="00000000" w14:paraId="000000AC">
      <w:pPr>
        <w:ind w:left="0" w:firstLine="0"/>
        <w:rPr/>
      </w:pPr>
      <w:r w:rsidDel="00000000" w:rsidR="00000000" w:rsidRPr="00000000">
        <w:rPr>
          <w:rtl w:val="0"/>
        </w:rPr>
        <w:t xml:space="preserve">Embodied energy is further divided into two types: "initial embodied energy," which is used during the construction phase, and "recurring embodied energy," which is used for repairs, maintenance, and renovations (Merlino, 2018). </w:t>
      </w:r>
      <w:r w:rsidDel="00000000" w:rsidR="00000000" w:rsidRPr="00000000">
        <w:rPr>
          <w:b w:val="1"/>
          <w:bCs w:val="1"/>
          <w:rtl w:val="0"/>
        </w:rPr>
        <w:t xml:space="preserve">Recurring embodied energy</w:t>
      </w:r>
      <w:r w:rsidDel="00000000" w:rsidR="00000000" w:rsidRPr="00000000">
        <w:rPr>
          <w:rtl w:val="0"/>
        </w:rPr>
        <w:t xml:space="preserve"> refers to the production of all materials utilised for repairs or modifications throughout the building's lifespan (Crawford &amp; Hall, 2020). While preventive maintenance and refurbishments are essential for extending the life of a structure, these works also increase the building's overall lifetime energy footprint.</w:t>
      </w:r>
    </w:p>
    <w:p w:rsidR="00000000" w:rsidDel="00000000" w:rsidP="00000000" w:rsidRDefault="00000000" w:rsidRPr="00000000" w14:paraId="000000AD">
      <w:pPr>
        <w:ind w:left="0" w:firstLine="0"/>
        <w:rPr>
          <w:highlight w:val="cyan"/>
        </w:rPr>
      </w:pPr>
      <w:r w:rsidDel="00000000" w:rsidR="00000000" w:rsidRPr="00000000">
        <w:rPr>
          <w:rtl w:val="0"/>
        </w:rPr>
        <w:t xml:space="preserve">Crawford (2014) states that for a typical Australian brick veneer house, recurring embodied energy accounts for 22% of its total energy consumption over 50 years. The frequency and specific choices made during maintenance and renovation directly influence these levels. If a refurbishment project requires a high volume of materials, the embodied energy cost will be significantly higher (Duffy et al., 2019). According to Chan et al.’s (2020) research based in Canada, the environmental sustainability of adaptive reuse versus demolition and reconstruction varies based on factors such as material reuse and final demand. Additionally, buildings of lower quality generally demand more resources for upkeep, which increases their recurring embodied energy (Langston et al., 2008).</w:t>
      </w: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b w:val="1"/>
          <w:bCs w:val="1"/>
          <w:rtl w:val="0"/>
        </w:rPr>
        <w:t xml:space="preserve">Operational energy</w:t>
      </w:r>
      <w:r w:rsidDel="00000000" w:rsidR="00000000" w:rsidRPr="00000000">
        <w:rPr>
          <w:rtl w:val="0"/>
        </w:rPr>
        <w:t xml:space="preserve"> is defined as the total energy consumed by a building, including all occupant-related use, throughout its lifespan. While it generally accounts for the largest share of a building’s life-cycle energy, this proportion may be lower in highly energy-efficient designs.</w:t>
      </w:r>
    </w:p>
    <w:p w:rsidR="00000000" w:rsidDel="00000000" w:rsidP="00000000" w:rsidRDefault="00000000" w:rsidRPr="00000000" w14:paraId="000000AF">
      <w:pPr>
        <w:ind w:left="0" w:firstLine="0"/>
        <w:rPr>
          <w:highlight w:val="cyan"/>
        </w:rPr>
      </w:pPr>
      <w:r w:rsidDel="00000000" w:rsidR="00000000" w:rsidRPr="00000000">
        <w:rPr>
          <w:rtl w:val="0"/>
        </w:rPr>
        <w:t xml:space="preserve">Research indicates that heritage buildings frequently benefit from substantial external envelopes that can decrease operational energy requirements through passive thermal regulation (Langston et al., 2008). Nevertheless, environmental sustainability cannot be achieved by considering embodied energy alone; heritage structures must also undergo retrofitting to reduce operational energy use (Duffy et al., 2019).</w:t>
      </w:r>
      <w:r w:rsidDel="00000000" w:rsidR="00000000" w:rsidRPr="00000000">
        <w:rPr>
          <w:rtl w:val="0"/>
        </w:rPr>
      </w:r>
    </w:p>
    <w:p w:rsidR="00000000" w:rsidDel="00000000" w:rsidP="00000000" w:rsidRDefault="00000000" w:rsidRPr="00000000" w14:paraId="000000B0">
      <w:pPr>
        <w:ind w:left="0" w:firstLine="0"/>
        <w:rPr/>
      </w:pPr>
      <w:r w:rsidDel="00000000" w:rsidR="00000000" w:rsidRPr="00000000">
        <w:rPr>
          <w:rtl w:val="0"/>
        </w:rPr>
        <w:t xml:space="preserve">Heritage buildings are capable of meeting peak energy efficiency standards, with some projects even attaining the highest tiers of green building certification (Langston, 2011). When effective thermal insulation measures are employed, the environmental impact and operational requirements of heritage buildings can be comparable to those of new constructions (Itard &amp; Klunder, 2007). In New Zealand, case studies of deep energy retrofits in listed heritage buildings demonstrate a significant potential for lowering operational demand between 50-70% through integrated performance upgrades (Paschoalin et al., 2023).</w:t>
      </w:r>
    </w:p>
    <w:p w:rsidR="00000000" w:rsidDel="00000000" w:rsidP="00000000" w:rsidRDefault="00000000" w:rsidRPr="00000000" w14:paraId="000000B1">
      <w:pPr>
        <w:ind w:left="0" w:firstLine="0"/>
        <w:rPr/>
      </w:pPr>
      <w:r w:rsidDel="00000000" w:rsidR="00000000" w:rsidRPr="00000000">
        <w:rPr>
          <w:rtl w:val="0"/>
        </w:rPr>
        <w:t xml:space="preserve">The environmental case for heritage conservation depends on a holistic life-cycle analysis that balances operational efficiency with both initial and recurring embodied energy. While heritage buildings require strategic retrofitting to match the operational performance of new constructions, the recurring embodied energy from material maintenance and replacements, which can exceed the energy of initial construction in older buildings, is a critical but often overlooked factor. Because every intervention carries its own energy footprint, avoiding unnecessary repairs is essential to prevent inflating the building’s total environmental impact. Ultimately, validating heritage conservation as a sustainable strategy requires understanding this realistic energy consumption across the building's entire extended lifespan.</w:t>
      </w:r>
    </w:p>
    <w:p w:rsidR="00000000" w:rsidDel="00000000" w:rsidP="00000000" w:rsidRDefault="00000000" w:rsidRPr="00000000" w14:paraId="000000B2">
      <w:pPr>
        <w:pStyle w:val="Heading5"/>
        <w:rPr/>
      </w:pPr>
      <w:r w:rsidDel="00000000" w:rsidR="00000000" w:rsidRPr="00000000">
        <w:rPr>
          <w:rtl w:val="0"/>
        </w:rPr>
        <w:t xml:space="preserve">Physical life</w:t>
      </w:r>
    </w:p>
    <w:p w:rsidR="00000000" w:rsidDel="00000000" w:rsidP="00000000" w:rsidRDefault="00000000" w:rsidRPr="00000000" w14:paraId="000000B3">
      <w:pPr>
        <w:ind w:left="0" w:firstLine="0"/>
        <w:rPr/>
      </w:pPr>
      <w:r w:rsidDel="00000000" w:rsidR="00000000" w:rsidRPr="00000000">
        <w:rPr>
          <w:rtl w:val="0"/>
        </w:rPr>
        <w:t xml:space="preserve">Buildings, much like biological organisms, progress through a distinct lifecycle characterised by construction, utilisation, and eventual collapse or demolition. A critical distinction in academic discourse is made between a building's physical life, the duration it remains structurally sound, and its functional life, which represents the period it remains useful before becoming obsolete.</w:t>
      </w:r>
    </w:p>
    <w:p w:rsidR="00000000" w:rsidDel="00000000" w:rsidP="00000000" w:rsidRDefault="00000000" w:rsidRPr="00000000" w14:paraId="000000B4">
      <w:pPr>
        <w:ind w:left="0" w:firstLine="0"/>
        <w:rPr>
          <w:highlight w:val="green"/>
        </w:rPr>
      </w:pPr>
      <w:r w:rsidDel="00000000" w:rsidR="00000000" w:rsidRPr="00000000">
        <w:rPr>
          <w:rtl w:val="0"/>
        </w:rPr>
        <w:t xml:space="preserve">The durability of a structure is largely determined by the varying life expectancies of its constituent elements. Research indicates that buildings with robust structural frames possess the potential to remain viable for more than a century, provided they receive consistent maintenance and repair (Kohler &amp; Yang, 2007). In contemporary practice, primary elements such as the building shell, foundations, and façade are typically designed with a 50-year physical life expectancy.</w:t>
      </w:r>
      <w:r w:rsidDel="00000000" w:rsidR="00000000" w:rsidRPr="00000000">
        <w:rPr>
          <w:rtl w:val="0"/>
        </w:rPr>
      </w:r>
    </w:p>
    <w:p w:rsidR="00000000" w:rsidDel="00000000" w:rsidP="00000000" w:rsidRDefault="00000000" w:rsidRPr="00000000" w14:paraId="000000B5">
      <w:pPr>
        <w:ind w:left="0" w:firstLine="0"/>
        <w:rPr/>
      </w:pPr>
      <w:r w:rsidDel="00000000" w:rsidR="00000000" w:rsidRPr="00000000">
        <w:rPr>
          <w:rtl w:val="0"/>
        </w:rPr>
        <w:t xml:space="preserve">For heritage structures, longevity is influenced by initial construction quality, ongoing maintenance, and resilience against disasters. Many existing heritage buildings have already surpassed the standard 50-year expectancy. Adaptive reuse presents a sustainable alternative to demolition by repurposing a building once it reaches the end of its functional life, even if its physical structure remains sound.</w:t>
      </w:r>
    </w:p>
    <w:p w:rsidR="00000000" w:rsidDel="00000000" w:rsidP="00000000" w:rsidRDefault="00000000" w:rsidRPr="00000000" w14:paraId="000000B6">
      <w:pPr>
        <w:ind w:left="0" w:firstLine="0"/>
        <w:rPr>
          <w:highlight w:val="green"/>
        </w:rPr>
      </w:pPr>
      <w:r w:rsidDel="00000000" w:rsidR="00000000" w:rsidRPr="00000000">
        <w:rPr>
          <w:rtl w:val="0"/>
        </w:rPr>
        <w:t xml:space="preserve">The justification for heritage conservation and adaptive reuse is often rooted in environmental sustainability. By extending a building's physical life, the embodied energy of the original materials is utilised over a longer period, yielding significant environmental benefits compared to new construction (Bullen &amp; Love, 2010). To evaluate this potential, assessment tools such as the Adaptive Reuse Potential model and physical life calculators have been developed (Aigwi et al., 2022; Langston et al., 2008). These models consider factors like structural integrity and various forms of obsolescence (physical, functional, and environmental) to estimate a building's useful life, which empirical studies have shown can vary from 50 to 300 years (Langston et al., 2008).</w:t>
      </w:r>
      <w:r w:rsidDel="00000000" w:rsidR="00000000" w:rsidRPr="00000000">
        <w:rPr>
          <w:rtl w:val="0"/>
        </w:rPr>
      </w:r>
    </w:p>
    <w:p w:rsidR="00000000" w:rsidDel="00000000" w:rsidP="00000000" w:rsidRDefault="00000000" w:rsidRPr="00000000" w14:paraId="000000B7">
      <w:pPr>
        <w:pStyle w:val="Heading5"/>
        <w:rPr/>
      </w:pPr>
      <w:r w:rsidDel="00000000" w:rsidR="00000000" w:rsidRPr="00000000">
        <w:rPr>
          <w:rtl w:val="0"/>
        </w:rPr>
        <w:t xml:space="preserve">Construction Material</w:t>
      </w:r>
    </w:p>
    <w:p w:rsidR="00000000" w:rsidDel="00000000" w:rsidP="00000000" w:rsidRDefault="00000000" w:rsidRPr="00000000" w14:paraId="000000B8">
      <w:pPr>
        <w:ind w:left="0" w:firstLine="0"/>
        <w:rPr/>
      </w:pPr>
      <w:r w:rsidDel="00000000" w:rsidR="00000000" w:rsidRPr="00000000">
        <w:rPr>
          <w:rtl w:val="0"/>
        </w:rPr>
        <w:t xml:space="preserve">Construction material is a concept that is not usually mentioned within heritage conservation and sustainability relations. This category includes all materials used for construction, which ultimately transition into construction and demolition waste (C&amp;DW). In the United States, the construction sector consumes 60% of raw materials annually (Mohamed et al., 2017). While the specific data may vary, construction is the leading consumer of materials in many other countries and significantly contributes to their greenhouse gas emissions (Mohamed et al., 2017). Research by Itard and Klunder (2007) demonstrates that building reuse can potentially use 60% less material than demolition and rebuilding. Both Langston (2008) and Bullen and Love (2010) agree that refurbishment requires fewer materials since most building elements already exist. However, Langston (2008) also point out that modern building regulations, fire safety, and construction quality may increase material use during adaptive reuse. According to Mohamed et al. (2017) the choice of materials is essential; to achieve environmentally sustainable outcomes, energy-intensive products and inefficient systems should be avoided unless their lifetime benefits are demonstrated.</w:t>
      </w:r>
    </w:p>
    <w:p w:rsidR="00000000" w:rsidDel="00000000" w:rsidP="00000000" w:rsidRDefault="00000000" w:rsidRPr="00000000" w14:paraId="000000B9">
      <w:pPr>
        <w:ind w:left="0" w:firstLine="0"/>
        <w:rPr/>
      </w:pPr>
      <w:r w:rsidDel="00000000" w:rsidR="00000000" w:rsidRPr="00000000">
        <w:rPr>
          <w:rtl w:val="0"/>
        </w:rPr>
        <w:t xml:space="preserve">Reducing C&amp;DW is rated as a top priority for achieving an environmentally sustainable future in line with Sustainable Development Goal 12 (Kabirifar et al., 2020). C&amp;DW represents a major component of global waste streams, accounting for approximately 20–30% of municipal solid waste in the United States and 34% of the total waste generated within the European Union (Jin et al., 2017). In New Zealand, C&amp;DW constitutes between 40% and 50% of the waste sent to landfills (Rohani et al., 2019). Mohamed et al. (2017) state that the demolition of a building creates almost half of the solid waste that was created during the lifetime of the building. While the demolition phase of a building's life is a primary generator of these materials, evidence suggests that adaptive reuse or architectural refurbishments can achieve substantial material savings and generate significantly less waste per square meter than the processes of demolition and new construction (Itard &amp; Klunder, 2007).</w:t>
      </w:r>
    </w:p>
    <w:p w:rsidR="00000000" w:rsidDel="00000000" w:rsidP="00000000" w:rsidRDefault="00000000" w:rsidRPr="00000000" w14:paraId="000000BA">
      <w:pPr>
        <w:ind w:left="0" w:firstLine="0"/>
        <w:rPr/>
      </w:pPr>
      <w:r w:rsidDel="00000000" w:rsidR="00000000" w:rsidRPr="00000000">
        <w:rPr>
          <w:rtl w:val="0"/>
        </w:rPr>
        <w:t xml:space="preserve">Creating an environmentally sustainable construction industry requires transitioning to closed-loop material systems, which reduce the need for raw resources (Saleh &amp; Chini, 2009). Opting for building reuse prolongs the lifespan of materials, and deconstruction serves as a vital alternative to demolition by allowing for the reuse and recycling of components. This approach was partially applied to heritage buildings following the 2010–2011 Christchurch earthquakes, where a heritage waste management policy directed the retrieval and preservation of selected materials (Stevens, 2015).</w:t>
      </w:r>
    </w:p>
    <w:p w:rsidR="00000000" w:rsidDel="00000000" w:rsidP="00000000" w:rsidRDefault="00000000" w:rsidRPr="00000000" w14:paraId="000000BB">
      <w:pPr>
        <w:ind w:left="0" w:firstLine="0"/>
        <w:rPr/>
      </w:pPr>
      <w:r w:rsidDel="00000000" w:rsidR="00000000" w:rsidRPr="00000000">
        <w:rPr>
          <w:rtl w:val="0"/>
        </w:rPr>
        <w:t xml:space="preserve">In New Zealand, historically low or no construction waste disposal fees contributed to the idea that demolishing and building new was cheaper than reuse. However, the waste disposal levy was expanded to include C&amp;DW in 2021, with fees implemented in 2022 and increased annually until 2024. This levy aims to reduce construction waste and promote recycling and reuse (New Zealand Ministry for the Environment, 2022). While research specifically focusing on the effect of heritage conservation on waste in New Zealand is minimal, it is expected that these fees will shift the economic balance in favour of reusing existing structures.</w:t>
      </w:r>
    </w:p>
    <w:p w:rsidR="00000000" w:rsidDel="00000000" w:rsidP="00000000" w:rsidRDefault="00000000" w:rsidRPr="00000000" w14:paraId="000000BC">
      <w:pPr>
        <w:ind w:left="0" w:firstLine="0"/>
        <w:rPr>
          <w:highlight w:val="cyan"/>
        </w:rPr>
      </w:pPr>
      <w:r w:rsidDel="00000000" w:rsidR="00000000" w:rsidRPr="00000000">
        <w:rPr>
          <w:rtl w:val="0"/>
        </w:rPr>
        <w:t xml:space="preserve">Buildings consume 40% of primary energy in the USA and the European Union (Cao et al., 2016), and C&amp;DW constitutes the bulk of contemporary waste. To fulfil SDG 12, the construction industry must adopt sustainable consumption and production practices. Although adaptive reuse drastically reduces material use and demolition waste at first glance, the research on waste created during long-term maintenance remains limited. Nevertheless, heritage conservation is a potent strategy for reducing material consumption while minimising waste in the construction industry.</w:t>
      </w:r>
      <w:r w:rsidDel="00000000" w:rsidR="00000000" w:rsidRPr="00000000">
        <w:rPr>
          <w:rtl w:val="0"/>
        </w:rPr>
      </w:r>
    </w:p>
    <w:p w:rsidR="00000000" w:rsidDel="00000000" w:rsidP="00000000" w:rsidRDefault="00000000" w:rsidRPr="00000000" w14:paraId="000000BD">
      <w:pPr>
        <w:pStyle w:val="Heading2"/>
        <w:numPr>
          <w:ilvl w:val="1"/>
          <w:numId w:val="1"/>
        </w:numPr>
        <w:ind w:left="576" w:hanging="576"/>
        <w:rPr/>
      </w:pPr>
      <w:r w:rsidDel="00000000" w:rsidR="00000000" w:rsidRPr="00000000">
        <w:rPr>
          <w:rtl w:val="0"/>
        </w:rPr>
        <w:t xml:space="preserve">Social Resilience</w:t>
      </w:r>
    </w:p>
    <w:p w:rsidR="00000000" w:rsidDel="00000000" w:rsidP="00000000" w:rsidRDefault="00000000" w:rsidRPr="00000000" w14:paraId="000000BE">
      <w:pPr>
        <w:ind w:left="0" w:firstLine="0"/>
        <w:rPr/>
      </w:pPr>
      <w:r w:rsidDel="00000000" w:rsidR="00000000" w:rsidRPr="00000000">
        <w:rPr>
          <w:rtl w:val="0"/>
        </w:rPr>
        <w:t xml:space="preserve">Social resilience represents a critical yet frequently overlooked dimension of heritage conservation, primarily due to its intangible nature. The preservation of heritage buildings contributes significantly to a town’s social resilience, facilitating the development of vibrant communities and improving the overall quality of life (Inal Kaynar, 2026). This section investigates these contributions through several thematic lenses, including urban vitality, sense of place, cultural identity, community engagement, and broader societal impacts.</w:t>
      </w:r>
    </w:p>
    <w:p w:rsidR="00000000" w:rsidDel="00000000" w:rsidP="00000000" w:rsidRDefault="00000000" w:rsidRPr="00000000" w14:paraId="000000BF">
      <w:pPr>
        <w:pStyle w:val="Heading5"/>
        <w:rPr/>
      </w:pPr>
      <w:r w:rsidDel="00000000" w:rsidR="00000000" w:rsidRPr="00000000">
        <w:rPr>
          <w:rtl w:val="0"/>
        </w:rPr>
        <w:t xml:space="preserve">Town Vitality and Occupancy</w:t>
      </w:r>
    </w:p>
    <w:p w:rsidR="00000000" w:rsidDel="00000000" w:rsidP="00000000" w:rsidRDefault="00000000" w:rsidRPr="00000000" w14:paraId="000000C0">
      <w:pPr>
        <w:ind w:left="0" w:firstLine="0"/>
        <w:rPr/>
      </w:pPr>
      <w:r w:rsidDel="00000000" w:rsidR="00000000" w:rsidRPr="00000000">
        <w:rPr>
          <w:rtl w:val="0"/>
        </w:rPr>
        <w:t xml:space="preserve">Globally, numerous heritage buildings within town centres remain underutilised or vacant, often as a result of changing regulations (Langston et al., 2008) or significant population decline (Nel et al., 2019). The conservation of these heritage assets possesses the potential to revitalise town centres by reactivating underutilised structures and catalysing both social and economic engagement (Armstrong et al., 2023). Academic research evaluates the impact of conservation on town vitality through three primary dimensions: occupancy levels, economic vibrancy, and the enhancement of residents' quality of life.</w:t>
      </w:r>
    </w:p>
    <w:p w:rsidR="00000000" w:rsidDel="00000000" w:rsidP="00000000" w:rsidRDefault="00000000" w:rsidRPr="00000000" w14:paraId="000000C1">
      <w:pPr>
        <w:ind w:left="0" w:firstLine="0"/>
        <w:rPr/>
      </w:pPr>
      <w:r w:rsidDel="00000000" w:rsidR="00000000" w:rsidRPr="00000000">
        <w:rPr>
          <w:rtl w:val="0"/>
        </w:rPr>
        <w:t xml:space="preserve">Conserving heritage buildings within a town can generate positive externalities, such as increasing the value of surrounding real estate and driving broader urban regeneration (Dell’Anna, 2022). In the context of New Zealand, it has been noted that many provincial towns contend with a high volume of vacant heritage stock; therefore, proactive conservation and adaptive reuse of heritage buildings may serve as a beneficial strategy for local communities (Aigwi, Ingham, et al., 2020).</w:t>
      </w:r>
    </w:p>
    <w:p w:rsidR="00000000" w:rsidDel="00000000" w:rsidP="00000000" w:rsidRDefault="00000000" w:rsidRPr="00000000" w14:paraId="000000C2">
      <w:pPr>
        <w:ind w:left="0" w:firstLine="0"/>
        <w:rPr/>
      </w:pPr>
      <w:r w:rsidDel="00000000" w:rsidR="00000000" w:rsidRPr="00000000">
        <w:rPr>
          <w:rtl w:val="0"/>
        </w:rPr>
        <w:t xml:space="preserve">Furthermore, the "historic urban landscape" approach advocated by UNESCO identifies urban heritage as a fundamental resource for improving the liveability and social cohesion of city environments (UNESCO, 2013). The renovation and ongoing care of historic city centres act as a catalyst for social revitalisation, drawing economic investment while simultaneously elevating the quality of life for the surrounding neighbourhood (Vicente et al., 2015). Comprehensive heritage conservation projects not only address local development needs but also provide essential socio-cultural amenities that foster community interest and collective benefit (Andreucci &amp; Karagözler, 2025). Ultimately, the preservation of heritage buildings is instrumental in enhancing community well-being and securing a higher standard of living for urban residents.</w:t>
      </w:r>
    </w:p>
    <w:p w:rsidR="00000000" w:rsidDel="00000000" w:rsidP="00000000" w:rsidRDefault="00000000" w:rsidRPr="00000000" w14:paraId="000000C3">
      <w:pPr>
        <w:pStyle w:val="Heading5"/>
        <w:rPr/>
      </w:pPr>
      <w:r w:rsidDel="00000000" w:rsidR="00000000" w:rsidRPr="00000000">
        <w:rPr>
          <w:rtl w:val="0"/>
        </w:rPr>
      </w:r>
    </w:p>
    <w:p w:rsidR="00000000" w:rsidDel="00000000" w:rsidP="00000000" w:rsidRDefault="00000000" w:rsidRPr="00000000" w14:paraId="000000C4">
      <w:pPr>
        <w:pStyle w:val="Heading5"/>
        <w:rPr/>
      </w:pPr>
      <w:r w:rsidDel="00000000" w:rsidR="00000000" w:rsidRPr="00000000">
        <w:rPr>
          <w:rtl w:val="0"/>
        </w:rPr>
        <w:t xml:space="preserve">Sense of Belonging, Sense of Place, and Cultural Identity</w:t>
      </w:r>
    </w:p>
    <w:p w:rsidR="00000000" w:rsidDel="00000000" w:rsidP="00000000" w:rsidRDefault="00000000" w:rsidRPr="00000000" w14:paraId="000000C5">
      <w:pPr>
        <w:ind w:left="0" w:firstLine="0"/>
        <w:rPr/>
      </w:pPr>
      <w:r w:rsidDel="00000000" w:rsidR="00000000" w:rsidRPr="00000000">
        <w:rPr>
          <w:rtl w:val="0"/>
        </w:rPr>
        <w:t xml:space="preserve">Heritage conservation is intrinsically linked to fostering a stronger sense of belonging and place within communities because it prioritises the protection of buildings as fundamental cultural anchors. This process allows for the preservation of cultural heritage, thereby maintaining the historical continuity and sense of place essential for community stability (English Heritage, 2008). As noted by Aigwi, Ingham, et al. (2020), a heritage building projects a positive public image throughout its lifecycle, which sustains a sense of place and enhances the building’s inherent capacity to promote long-term place attachment. Shi and Huang (2025), further support this by highlighting that the active conservation of these structures enables communities to maintain their distinct architectural identity and historical character.</w:t>
      </w:r>
    </w:p>
    <w:p w:rsidR="00000000" w:rsidDel="00000000" w:rsidP="00000000" w:rsidRDefault="00000000" w:rsidRPr="00000000" w14:paraId="000000C6">
      <w:pPr>
        <w:ind w:left="0" w:firstLine="0"/>
        <w:rPr/>
      </w:pPr>
      <w:r w:rsidDel="00000000" w:rsidR="00000000" w:rsidRPr="00000000">
        <w:rPr>
          <w:rtl w:val="0"/>
        </w:rPr>
        <w:t xml:space="preserve">Such strategies strengthen the emotional and historical ties between residents and their environment, promoting a robust and ongoing cultural identity. By safeguarding the physical fabric of the built environment, conservation efforts help to cultivate memory and a collective sense of belonging (Inal Kaynar, 2026). Ultimately, heritage conservation plays a vital role in reinforcing cultural identity and deepening connections to place by protecting both the tangible and intangible links between people and their urban heritage</w:t>
      </w:r>
    </w:p>
    <w:p w:rsidR="00000000" w:rsidDel="00000000" w:rsidP="00000000" w:rsidRDefault="00000000" w:rsidRPr="00000000" w14:paraId="000000C7">
      <w:pPr>
        <w:pStyle w:val="Heading5"/>
        <w:rPr/>
      </w:pPr>
      <w:r w:rsidDel="00000000" w:rsidR="00000000" w:rsidRPr="00000000">
        <w:rPr>
          <w:rtl w:val="0"/>
        </w:rPr>
      </w:r>
    </w:p>
    <w:p w:rsidR="00000000" w:rsidDel="00000000" w:rsidP="00000000" w:rsidRDefault="00000000" w:rsidRPr="00000000" w14:paraId="000000C8">
      <w:pPr>
        <w:pStyle w:val="Heading5"/>
        <w:rPr/>
      </w:pPr>
      <w:r w:rsidDel="00000000" w:rsidR="00000000" w:rsidRPr="00000000">
        <w:rPr>
          <w:rtl w:val="0"/>
        </w:rPr>
        <w:t xml:space="preserve">Community Engagement</w:t>
      </w:r>
    </w:p>
    <w:p w:rsidR="00000000" w:rsidDel="00000000" w:rsidP="00000000" w:rsidRDefault="00000000" w:rsidRPr="00000000" w14:paraId="000000C9">
      <w:pPr>
        <w:ind w:left="0" w:firstLine="0"/>
        <w:rPr/>
      </w:pPr>
      <w:r w:rsidDel="00000000" w:rsidR="00000000" w:rsidRPr="00000000">
        <w:rPr>
          <w:rtl w:val="0"/>
        </w:rPr>
        <w:t xml:space="preserve">The active engagement of local communities is a fundamental requirement for the social sustainability of heritage conservation initiatives. Broad international and national frameworks, including the Burra Charter (ICOMOS Australia, 2013), the ICOMOS NZ Charter (ICOMOS New Zealand, 2010), and English Heritage’s "Conservation Principles," (English Heritage, 2008) establish that public participation is essential throughout the entire conservation process to effectively manage the historic environment.</w:t>
      </w:r>
    </w:p>
    <w:p w:rsidR="00000000" w:rsidDel="00000000" w:rsidP="00000000" w:rsidRDefault="00000000" w:rsidRPr="00000000" w14:paraId="000000CA">
      <w:pPr>
        <w:ind w:left="0" w:firstLine="0"/>
        <w:rPr/>
      </w:pPr>
      <w:r w:rsidDel="00000000" w:rsidR="00000000" w:rsidRPr="00000000">
        <w:rPr>
          <w:rtl w:val="0"/>
        </w:rPr>
        <w:t xml:space="preserve">By prioritising the needs and perspectives of local people, heritage conservation efforts can foster a profound sense of ownership and belonging (Hassan, 2023). This involvement ensures that conservation projects are not merely technical exercises but are deeply rooted in the community’s social fabric. Ultimately, community engagement should be understood as a core social practice that must be integrated into all heritage conservation strategies. This integration ensures that the preservation of cultural assets reflects contemporary community demands and reinforces a lasting sense of connection to local heritage.</w:t>
      </w:r>
    </w:p>
    <w:p w:rsidR="00000000" w:rsidDel="00000000" w:rsidP="00000000" w:rsidRDefault="00000000" w:rsidRPr="00000000" w14:paraId="000000CB">
      <w:pPr>
        <w:pStyle w:val="Heading2"/>
        <w:numPr>
          <w:ilvl w:val="1"/>
          <w:numId w:val="1"/>
        </w:numPr>
        <w:ind w:left="576" w:hanging="576"/>
        <w:rPr/>
      </w:pPr>
      <w:r w:rsidDel="00000000" w:rsidR="00000000" w:rsidRPr="00000000">
        <w:rPr>
          <w:rtl w:val="0"/>
        </w:rPr>
        <w:t xml:space="preserve">Climate Action</w:t>
      </w:r>
    </w:p>
    <w:p w:rsidR="00000000" w:rsidDel="00000000" w:rsidP="00000000" w:rsidRDefault="00000000" w:rsidRPr="00000000" w14:paraId="000000CC">
      <w:pPr>
        <w:ind w:left="0" w:firstLine="0"/>
        <w:rPr>
          <w:highlight w:val="green"/>
        </w:rPr>
      </w:pPr>
      <w:r w:rsidDel="00000000" w:rsidR="00000000" w:rsidRPr="00000000">
        <w:rPr>
          <w:rtl w:val="0"/>
        </w:rPr>
        <w:t xml:space="preserve">Climate action in the context of the built environment increasingly recognises heritage buildings not merely as vulnerable assets, but as critical components of a sustainable future. Climate change disproportionately accelerates the degradation of the aged and fragile materials inherent to historic buildings, as shifting environmental patterns exacerbate both the speed and severity of existing decay processes (Haugen et al., 2018). While modern infrastructure can readily adopt advanced adaptation technologies, the application of such invasive measures to heritage sites is frequently restricted by legal preservation mandates. These regulations prioritise the protection of a building's original features and historical significance, often creating a "tension" between the urgent need for adaptation and the ethical requirement for conservation. Beyond preservation, these structures support climate mitigation through the circular economy; their adaptive reuse preserves the "embodied energy" of original materials and significantly avoids the carbon emissions associated with new construction, mentioned in the previous sections. As highlighted by frameworks like those promoted by heritageadapts.org, effective climate action must balance the preservation of historical integrity with the integration of new technologies to meet contemporary energy efficiency and human comfort requirements.</w:t>
      </w:r>
      <w:r w:rsidDel="00000000" w:rsidR="00000000" w:rsidRPr="00000000">
        <w:rPr>
          <w:rtl w:val="0"/>
        </w:rPr>
      </w:r>
    </w:p>
    <w:p w:rsidR="00000000" w:rsidDel="00000000" w:rsidP="00000000" w:rsidRDefault="00000000" w:rsidRPr="00000000" w14:paraId="000000CD">
      <w:pPr>
        <w:ind w:left="0" w:firstLine="0"/>
        <w:rPr/>
      </w:pPr>
      <w:r w:rsidDel="00000000" w:rsidR="00000000" w:rsidRPr="00000000">
        <w:rPr>
          <w:rtl w:val="0"/>
        </w:rPr>
        <w:t xml:space="preserve">The relationship between heritage and climate adaptation is a "two-way" process that underscores the resilience of cultural assets. On one hand, heritage requires specific adaptation strategies, such as vulnerability assessments and physical retrofitting, to respond to projected climatic stimuli and reduce potential damage (Dimabayao et al., 2025). Historic buildings often embed centuries of local knowledge about climate-sensitive design and resource management. By learning from how past communities responded to environmental changes, modern climate action can move beyond purely technical fixes toward more culturally sensitive transitions. This reciprocal relationship transforms heritage from a passive victim of climate change into an active tool for building global resilience.</w:t>
      </w:r>
    </w:p>
    <w:p w:rsidR="00000000" w:rsidDel="00000000" w:rsidP="00000000" w:rsidRDefault="00000000" w:rsidRPr="00000000" w14:paraId="000000CE">
      <w:pPr>
        <w:pStyle w:val="Heading2"/>
        <w:numPr>
          <w:ilvl w:val="1"/>
          <w:numId w:val="1"/>
        </w:numPr>
        <w:ind w:left="576" w:hanging="576"/>
        <w:rPr/>
      </w:pPr>
      <w:r w:rsidDel="00000000" w:rsidR="00000000" w:rsidRPr="00000000">
        <w:rPr>
          <w:rtl w:val="0"/>
        </w:rPr>
        <w:t xml:space="preserve">Sustainable Development Goals and Heritage Conservation</w:t>
      </w:r>
    </w:p>
    <w:p w:rsidR="00000000" w:rsidDel="00000000" w:rsidP="00000000" w:rsidRDefault="00000000" w:rsidRPr="00000000" w14:paraId="000000CF">
      <w:pPr>
        <w:tabs>
          <w:tab w:val="left" w:leader="none" w:pos="1500"/>
        </w:tabs>
        <w:ind w:left="0" w:firstLine="0"/>
        <w:rPr>
          <w:highlight w:val="cyan"/>
        </w:rPr>
      </w:pPr>
      <w:r w:rsidDel="00000000" w:rsidR="00000000" w:rsidRPr="00000000">
        <w:rPr>
          <w:rtl w:val="0"/>
        </w:rPr>
        <w:t xml:space="preserve">As part of the 2030 Agenda for Sustainable Development, the United Nations General Assembly established seventeen Sustainable Development Goals (SDGs) in 2015 (United Nations, 2015). The goals related to the conservation of heritage buildings are: SDG 8 Decent Work and Economic Growth, in relation to the economic sustainability of the town; SDG 11 Sustainable Cities and Communities, in relation to town vitality; and SDG 12 Responsible Consumption and Production, in relation to the environmental sustainability of reusing existing buildings. Additionally, seven international cultural organisations have advocated for a new "cultural" SDG specifically centred on heritage conservation (Arterial Network et al., 2022, 2023).</w:t>
      </w:r>
      <w:r w:rsidDel="00000000" w:rsidR="00000000" w:rsidRPr="00000000">
        <w:rPr>
          <w:rtl w:val="0"/>
        </w:rPr>
      </w:r>
    </w:p>
    <w:p w:rsidR="00000000" w:rsidDel="00000000" w:rsidP="00000000" w:rsidRDefault="00000000" w:rsidRPr="00000000" w14:paraId="000000D0">
      <w:pPr>
        <w:pStyle w:val="Heading1"/>
        <w:numPr>
          <w:ilvl w:val="0"/>
          <w:numId w:val="1"/>
        </w:numPr>
        <w:ind w:left="432" w:hanging="432"/>
        <w:rPr/>
      </w:pPr>
      <w:r w:rsidDel="00000000" w:rsidR="00000000" w:rsidRPr="00000000">
        <w:rPr>
          <w:rtl w:val="0"/>
        </w:rPr>
        <w:t xml:space="preserve">Economics of Cultural Heritage Conservation</w:t>
      </w:r>
    </w:p>
    <w:p w:rsidR="00000000" w:rsidDel="00000000" w:rsidP="00000000" w:rsidRDefault="00000000" w:rsidRPr="00000000" w14:paraId="000000D1">
      <w:pPr>
        <w:pStyle w:val="Heading2"/>
        <w:numPr>
          <w:ilvl w:val="1"/>
          <w:numId w:val="1"/>
        </w:numPr>
        <w:ind w:left="576" w:hanging="576"/>
        <w:rPr/>
      </w:pPr>
      <w:r w:rsidDel="00000000" w:rsidR="00000000" w:rsidRPr="00000000">
        <w:rPr>
          <w:rtl w:val="0"/>
        </w:rPr>
        <w:t xml:space="preserve">Economic Benefits and Drivers for Heritage Conservation</w:t>
      </w:r>
    </w:p>
    <w:p w:rsidR="00000000" w:rsidDel="00000000" w:rsidP="00000000" w:rsidRDefault="00000000" w:rsidRPr="00000000" w14:paraId="000000D2">
      <w:pPr>
        <w:ind w:left="0" w:firstLine="0"/>
        <w:rPr/>
      </w:pPr>
      <w:r w:rsidDel="00000000" w:rsidR="00000000" w:rsidRPr="00000000">
        <w:rPr>
          <w:rtl w:val="0"/>
        </w:rPr>
        <w:t xml:space="preserve">A primary economic incentive for heritage conservation and restoration for an investor is often the potential for significant cost savings when compared to the demolition of existing structures and the construction of new ones (Sanchez et al., 2019; Shipley et al., 2006; Zhang &amp; Zhang, 2023). Beyond direct cost efficiencies, heritage conservation generates a broad spectrum of economic benefits that extend to the local community and the wider urban environment. These include:</w:t>
      </w:r>
    </w:p>
    <w:p w:rsidR="00000000" w:rsidDel="00000000" w:rsidP="00000000" w:rsidRDefault="00000000" w:rsidRPr="00000000" w14:paraId="000000D3">
      <w:pPr>
        <w:ind w:left="0" w:firstLine="0"/>
        <w:rPr/>
      </w:pPr>
      <w:r w:rsidDel="00000000" w:rsidR="00000000" w:rsidRPr="00000000">
        <w:rPr>
          <w:b w:val="1"/>
          <w:bCs w:val="1"/>
          <w:rtl w:val="0"/>
        </w:rPr>
        <w:t xml:space="preserve">Increase in post-occupancy income and return on investment:</w:t>
      </w:r>
      <w:r w:rsidDel="00000000" w:rsidR="00000000" w:rsidRPr="00000000">
        <w:rPr>
          <w:rtl w:val="0"/>
        </w:rPr>
        <w:t xml:space="preserve"> Successful heritage conservation has been shown to improve building occupancy rates, contributing to the financial viability and overall return on investment (Aigwi, Ingham, et al., 2020; Inal Kaynar et al., 2025; Zhang &amp; Zhang, 2023).</w:t>
      </w:r>
    </w:p>
    <w:p w:rsidR="00000000" w:rsidDel="00000000" w:rsidP="00000000" w:rsidRDefault="00000000" w:rsidRPr="00000000" w14:paraId="000000D4">
      <w:pPr>
        <w:ind w:left="0" w:firstLine="0"/>
        <w:rPr>
          <w:b w:val="1"/>
          <w:bCs w:val="1"/>
        </w:rPr>
      </w:pPr>
      <w:r w:rsidDel="00000000" w:rsidR="00000000" w:rsidRPr="00000000">
        <w:rPr>
          <w:b w:val="1"/>
          <w:bCs w:val="1"/>
          <w:rtl w:val="0"/>
        </w:rPr>
        <w:t xml:space="preserve">Avoided demolition and reconstruction costs </w:t>
      </w:r>
      <w:r w:rsidDel="00000000" w:rsidR="00000000" w:rsidRPr="00000000">
        <w:rPr>
          <w:rtl w:val="0"/>
        </w:rPr>
        <w:t xml:space="preserve">(Zhang &amp; Zhang, 2023).</w:t>
      </w:r>
      <w:r w:rsidDel="00000000" w:rsidR="00000000" w:rsidRPr="00000000">
        <w:rPr>
          <w:rtl w:val="0"/>
        </w:rPr>
      </w:r>
    </w:p>
    <w:p w:rsidR="00000000" w:rsidDel="00000000" w:rsidP="00000000" w:rsidRDefault="00000000" w:rsidRPr="00000000" w14:paraId="000000D5">
      <w:pPr>
        <w:ind w:left="0" w:firstLine="0"/>
        <w:rPr/>
      </w:pPr>
      <w:r w:rsidDel="00000000" w:rsidR="00000000" w:rsidRPr="00000000">
        <w:rPr>
          <w:b w:val="1"/>
          <w:bCs w:val="1"/>
          <w:rtl w:val="0"/>
        </w:rPr>
        <w:t xml:space="preserve">Increased property and precinct values:</w:t>
      </w:r>
      <w:r w:rsidDel="00000000" w:rsidR="00000000" w:rsidRPr="00000000">
        <w:rPr>
          <w:rtl w:val="0"/>
        </w:rPr>
        <w:t xml:space="preserve"> The conservation of heritage assets can enhance the value of the revitalised property and contribute to an increase in value for the surrounding real estate (Dell’Anna, 2022). This leads to the creation of vibrant places that attract residents and businesses, satisfy local development needs, and generate public benefit (Aigwi, Ingham, et al., 2020; English Heritage, 2008; Stone &amp; Brooker, 2004).</w:t>
      </w:r>
    </w:p>
    <w:p w:rsidR="00000000" w:rsidDel="00000000" w:rsidP="00000000" w:rsidRDefault="00000000" w:rsidRPr="00000000" w14:paraId="000000D6">
      <w:pPr>
        <w:ind w:left="0" w:firstLine="0"/>
        <w:rPr>
          <w:b w:val="1"/>
          <w:bCs w:val="1"/>
        </w:rPr>
      </w:pPr>
      <w:r w:rsidDel="00000000" w:rsidR="00000000" w:rsidRPr="00000000">
        <w:rPr>
          <w:b w:val="1"/>
          <w:bCs w:val="1"/>
          <w:rtl w:val="0"/>
        </w:rPr>
        <w:t xml:space="preserve">Cost savings from the preservation of materials and a shorter construction period </w:t>
      </w:r>
      <w:r w:rsidDel="00000000" w:rsidR="00000000" w:rsidRPr="00000000">
        <w:rPr>
          <w:rtl w:val="0"/>
        </w:rPr>
        <w:t xml:space="preserve">(Aigwi, Ingham, et al., 2020).</w:t>
      </w:r>
      <w:r w:rsidDel="00000000" w:rsidR="00000000" w:rsidRPr="00000000">
        <w:rPr>
          <w:rtl w:val="0"/>
        </w:rPr>
      </w:r>
    </w:p>
    <w:p w:rsidR="00000000" w:rsidDel="00000000" w:rsidP="00000000" w:rsidRDefault="00000000" w:rsidRPr="00000000" w14:paraId="000000D7">
      <w:pPr>
        <w:ind w:left="0" w:firstLine="0"/>
        <w:rPr/>
      </w:pPr>
      <w:r w:rsidDel="00000000" w:rsidR="00000000" w:rsidRPr="00000000">
        <w:rPr>
          <w:b w:val="1"/>
          <w:bCs w:val="1"/>
          <w:rtl w:val="0"/>
        </w:rPr>
        <w:t xml:space="preserve">Job creation:</w:t>
      </w:r>
      <w:r w:rsidDel="00000000" w:rsidR="00000000" w:rsidRPr="00000000">
        <w:rPr>
          <w:rtl w:val="0"/>
        </w:rPr>
        <w:t xml:space="preserve"> Heritage conservation projects are labour-intensive, leading to direct and indirect job creation within the local economy, spanning skilled trades, conservation specialists, and service industries (Aigwi, Ingham, et al., 2020; Bell, 2023; Rypkema, 2013).</w:t>
      </w:r>
    </w:p>
    <w:p w:rsidR="00000000" w:rsidDel="00000000" w:rsidP="00000000" w:rsidRDefault="00000000" w:rsidRPr="00000000" w14:paraId="000000D8">
      <w:pPr>
        <w:ind w:left="0" w:firstLine="0"/>
        <w:rPr>
          <w:highlight w:val="cyan"/>
        </w:rPr>
      </w:pPr>
      <w:r w:rsidDel="00000000" w:rsidR="00000000" w:rsidRPr="00000000">
        <w:rPr>
          <w:rtl w:val="0"/>
        </w:rPr>
        <w:t xml:space="preserve">In summary, the economic benefits of heritage conservation extend far beyond mere cost avoidance, encompassing a comprehensive set of drivers that contribute to broader urban regeneration and sustainable development. From increased post-occupancy income to enhanced property values and significant job creation, conservation of heritage buildings revitalises precincts and fosters vibrant communities. This delivers multifaceted economic value to both property owners and the wider urban environment. </w:t>
      </w:r>
      <w:r w:rsidDel="00000000" w:rsidR="00000000" w:rsidRPr="00000000">
        <w:rPr>
          <w:rtl w:val="0"/>
        </w:rPr>
      </w:r>
    </w:p>
    <w:p w:rsidR="00000000" w:rsidDel="00000000" w:rsidP="00000000" w:rsidRDefault="00000000" w:rsidRPr="00000000" w14:paraId="000000D9">
      <w:pPr>
        <w:pStyle w:val="Heading2"/>
        <w:numPr>
          <w:ilvl w:val="1"/>
          <w:numId w:val="1"/>
        </w:numPr>
        <w:ind w:left="576" w:hanging="576"/>
        <w:rPr/>
      </w:pPr>
      <w:r w:rsidDel="00000000" w:rsidR="00000000" w:rsidRPr="00000000">
        <w:rPr>
          <w:rtl w:val="0"/>
        </w:rPr>
        <w:t xml:space="preserve">Cost Comparison: Adaptive Reuse Versus New Construction</w:t>
      </w:r>
    </w:p>
    <w:p w:rsidR="00000000" w:rsidDel="00000000" w:rsidP="00000000" w:rsidRDefault="00000000" w:rsidRPr="00000000" w14:paraId="000000DA">
      <w:pPr>
        <w:ind w:left="0" w:firstLine="0"/>
        <w:rPr/>
      </w:pPr>
      <w:r w:rsidDel="00000000" w:rsidR="00000000" w:rsidRPr="00000000">
        <w:rPr>
          <w:rtl w:val="0"/>
        </w:rPr>
        <w:t xml:space="preserve">The economic justification for conservation of heritage buildings is often established through comparative evaluations against demolition and reconstruction. While various qualitative studies indicate that reuse or conservation of heritage buildings is the more sustainable choice across environmental, social, and financial metrics, the availability of robust quantitative data is still maturing (Chan et al., 2020; Duffy et al., 2019; Hu &amp; Świerzawski, 2024). Each project's budget is unique, influenced by the building's physical state and geographic setting, which makes it challenging to define a universal standard for cost-effectiveness (Chan et al., 2020).</w:t>
      </w:r>
    </w:p>
    <w:p w:rsidR="00000000" w:rsidDel="00000000" w:rsidP="00000000" w:rsidRDefault="00000000" w:rsidRPr="00000000" w14:paraId="000000DB">
      <w:pPr>
        <w:ind w:left="0" w:firstLine="0"/>
        <w:rPr/>
      </w:pPr>
      <w:r w:rsidDel="00000000" w:rsidR="00000000" w:rsidRPr="00000000">
        <w:rPr>
          <w:rtl w:val="0"/>
        </w:rPr>
        <w:t xml:space="preserve">The research conducted by Romano et al. (2025) within the European Union's JRC Pilot Project REEBUILD, assessed the economic and environmental implications of seismic and energy retrofits for unreinforced masonry buildings over their lifecycle. The findings revealed that such retrofits achieved a 47% reduction in total costs, primarily due to a 50% drop in energy-related expenses and a 10% decrease in potential seismic damage costs, despite an initial rise in environmental costs during production (Romano et al., 2025). Ultimately, when accounting for the total whole-of-life costs, including initial investment, ongoing maintenance, and eventual disposal, adaptive reuse of a heritage building frequently demonstrates superior whole-life cycle financial performance compared to new builds (Douglas, 2006; Pattinson &amp; Egbelakin, 2016; Romano et al., 2025).</w:t>
      </w:r>
    </w:p>
    <w:p w:rsidR="00000000" w:rsidDel="00000000" w:rsidP="00000000" w:rsidRDefault="00000000" w:rsidRPr="00000000" w14:paraId="000000DC">
      <w:pPr>
        <w:pStyle w:val="Heading2"/>
        <w:numPr>
          <w:ilvl w:val="1"/>
          <w:numId w:val="1"/>
        </w:numPr>
        <w:ind w:left="576" w:hanging="576"/>
        <w:rPr/>
      </w:pPr>
      <w:r w:rsidDel="00000000" w:rsidR="00000000" w:rsidRPr="00000000">
        <w:rPr>
          <w:rtl w:val="0"/>
        </w:rPr>
        <w:t xml:space="preserve">Financial Challenges and Funding Mechanisms</w:t>
      </w:r>
    </w:p>
    <w:p w:rsidR="00000000" w:rsidDel="00000000" w:rsidP="00000000" w:rsidRDefault="00000000" w:rsidRPr="00000000" w14:paraId="000000DD">
      <w:pPr>
        <w:ind w:left="0" w:firstLine="0"/>
        <w:rPr/>
      </w:pPr>
      <w:r w:rsidDel="00000000" w:rsidR="00000000" w:rsidRPr="00000000">
        <w:rPr>
          <w:rtl w:val="0"/>
        </w:rPr>
        <w:t xml:space="preserve">Restoration and heritage conservation projects frequently encounter significant financial challenges despite their potential for long-term cultural and economic value. The substantial capital required for high-quality restoration and the inherent risk of unforeseen costs often discourage private investment. This financial burden and the complexity of preserving historical integrity necessitate the use of public funding and innovative financing mechanisms (Aigwi et al., 2021; Filippova &amp; Noy, 2018; Lupu &amp; Allegro, 2024).</w:t>
      </w:r>
    </w:p>
    <w:p w:rsidR="00000000" w:rsidDel="00000000" w:rsidP="00000000" w:rsidRDefault="00000000" w:rsidRPr="00000000" w14:paraId="000000DE">
      <w:pPr>
        <w:ind w:left="0" w:firstLine="0"/>
        <w:rPr/>
      </w:pPr>
      <w:r w:rsidDel="00000000" w:rsidR="00000000" w:rsidRPr="00000000">
        <w:rPr>
          <w:rtl w:val="0"/>
        </w:rPr>
        <w:t xml:space="preserve">Smaller cities and towns face even tighter financial constraints, making heritage conservation particularly difficult (Savoie et al., 2025). The intricate nature of conservation decisions, which must balance preservation with strict protection legislation, leads to higher execution costs; furthermore, the limited potential for high economic returns in smaller locales often discourages private stakeholders (Rossitti et al., 2021).</w:t>
      </w:r>
    </w:p>
    <w:p w:rsidR="00000000" w:rsidDel="00000000" w:rsidP="00000000" w:rsidRDefault="00000000" w:rsidRPr="00000000" w14:paraId="000000DF">
      <w:pPr>
        <w:ind w:left="0" w:firstLine="0"/>
        <w:rPr/>
      </w:pPr>
      <w:r w:rsidDel="00000000" w:rsidR="00000000" w:rsidRPr="00000000">
        <w:rPr>
          <w:rtl w:val="0"/>
        </w:rPr>
        <w:t xml:space="preserve">To address these barriers, research highlights several strategic approaches:</w:t>
      </w:r>
    </w:p>
    <w:p w:rsidR="00000000" w:rsidDel="00000000" w:rsidP="00000000" w:rsidRDefault="00000000" w:rsidRPr="00000000" w14:paraId="000000E0">
      <w:pPr>
        <w:ind w:left="0" w:firstLine="0"/>
        <w:rPr/>
      </w:pPr>
      <w:r w:rsidDel="00000000" w:rsidR="00000000" w:rsidRPr="00000000">
        <w:rPr>
          <w:b w:val="1"/>
          <w:bCs w:val="1"/>
          <w:rtl w:val="0"/>
        </w:rPr>
        <w:t xml:space="preserve">Blended Finance Frameworks</w:t>
      </w:r>
      <w:r w:rsidDel="00000000" w:rsidR="00000000" w:rsidRPr="00000000">
        <w:rPr>
          <w:rtl w:val="0"/>
        </w:rPr>
        <w:t xml:space="preserve">: These models bridge the gap between public and private capital to support collaborative restoration initiatives (Burnham, 2022).</w:t>
      </w:r>
    </w:p>
    <w:p w:rsidR="00000000" w:rsidDel="00000000" w:rsidP="00000000" w:rsidRDefault="00000000" w:rsidRPr="00000000" w14:paraId="000000E1">
      <w:pPr>
        <w:ind w:left="0" w:firstLine="0"/>
        <w:rPr/>
      </w:pPr>
      <w:r w:rsidDel="00000000" w:rsidR="00000000" w:rsidRPr="00000000">
        <w:rPr>
          <w:b w:val="1"/>
          <w:bCs w:val="1"/>
          <w:rtl w:val="0"/>
        </w:rPr>
        <w:t xml:space="preserve">Innovative Financing Methods</w:t>
      </w:r>
      <w:r w:rsidDel="00000000" w:rsidR="00000000" w:rsidRPr="00000000">
        <w:rPr>
          <w:rtl w:val="0"/>
        </w:rPr>
        <w:t xml:space="preserve">: Hybrid public-private partnerships, social finance, and impact investing offer ways to manage financial risks while securing long-term benefits for heritage sites (Lupu &amp; Allegro, 2024).</w:t>
      </w:r>
    </w:p>
    <w:p w:rsidR="00000000" w:rsidDel="00000000" w:rsidP="00000000" w:rsidRDefault="00000000" w:rsidRPr="00000000" w14:paraId="000000E2">
      <w:pPr>
        <w:ind w:left="0" w:firstLine="0"/>
        <w:rPr/>
      </w:pPr>
      <w:r w:rsidDel="00000000" w:rsidR="00000000" w:rsidRPr="00000000">
        <w:rPr>
          <w:b w:val="1"/>
          <w:bCs w:val="1"/>
          <w:rtl w:val="0"/>
        </w:rPr>
        <w:t xml:space="preserve">Government Grants and Incentives:</w:t>
      </w:r>
      <w:r w:rsidDel="00000000" w:rsidR="00000000" w:rsidRPr="00000000">
        <w:rPr>
          <w:rtl w:val="0"/>
        </w:rPr>
        <w:t xml:space="preserve"> Public support provides a vital lifeline for restoration projects that might otherwise be unviable, especially in areas where heritage protection is prioritised despite low immediate financial returns (Aigwi, Filippova, et al., 2020; Aigwi et al., 2021; Rossitti et al., 2025). </w:t>
      </w:r>
    </w:p>
    <w:p w:rsidR="00000000" w:rsidDel="00000000" w:rsidP="00000000" w:rsidRDefault="00000000" w:rsidRPr="00000000" w14:paraId="000000E3">
      <w:pPr>
        <w:ind w:left="0" w:firstLine="0"/>
        <w:rPr>
          <w:b w:val="1"/>
          <w:bCs w:val="1"/>
        </w:rPr>
      </w:pPr>
      <w:r w:rsidDel="00000000" w:rsidR="00000000" w:rsidRPr="00000000">
        <w:rPr>
          <w:b w:val="1"/>
          <w:bCs w:val="1"/>
          <w:rtl w:val="0"/>
        </w:rPr>
        <w:t xml:space="preserve">Tax Incentives: </w:t>
      </w:r>
      <w:r w:rsidDel="00000000" w:rsidR="00000000" w:rsidRPr="00000000">
        <w:rPr>
          <w:rtl w:val="0"/>
        </w:rPr>
        <w:t xml:space="preserve">In Türkiye and various European Union (EU) member states, listed heritage buildings benefit from specific tax exemptions and incentives intended to mitigate restoration costs. In Türkiye, listed immovable cultural assets are exempt from various taxes and fees, including property tax, provided they follow strict conservation criteria (Turkish Republic Ministry of Culture and Tourism, 1983). Furthermore, the Turkish Ministry of Culture and Tourism offers financial and technical assistance specifically for the maintenance and repair of these structures to ensure their survival.</w:t>
      </w:r>
      <w:r w:rsidDel="00000000" w:rsidR="00000000" w:rsidRPr="00000000">
        <w:rPr>
          <w:rtl w:val="0"/>
        </w:rPr>
      </w:r>
    </w:p>
    <w:p w:rsidR="00000000" w:rsidDel="00000000" w:rsidP="00000000" w:rsidRDefault="00000000" w:rsidRPr="00000000" w14:paraId="000000E4">
      <w:pPr>
        <w:ind w:left="0" w:firstLine="0"/>
        <w:rPr>
          <w:highlight w:val="green"/>
        </w:rPr>
      </w:pPr>
      <w:r w:rsidDel="00000000" w:rsidR="00000000" w:rsidRPr="00000000">
        <w:rPr>
          <w:rtl w:val="0"/>
        </w:rPr>
        <w:t xml:space="preserve">Similarly, across the EU, fiscal instruments such as reduced Value Added Tax (VAT) rates are applied to restoration work. For example, Spain implements a lower VAT rate for interventions on historic buildings, while France, Italy, and Belgium offer reduced rates for the restoration of residential heritage structures (Vojinović et al., 2020). These measures, such as income tax deductions in Ireland and direct tax credits for energy-efficient retrofitting in Italy, aim to make the preservation and restoration of historic monuments more financially attractive than demolition or new construction (Cinieri &amp; Garzulino, 2022; McDonald, 2000).</w:t>
      </w:r>
      <w:r w:rsidDel="00000000" w:rsidR="00000000" w:rsidRPr="00000000">
        <w:rPr>
          <w:rtl w:val="0"/>
        </w:rPr>
      </w:r>
    </w:p>
    <w:p w:rsidR="00000000" w:rsidDel="00000000" w:rsidP="00000000" w:rsidRDefault="00000000" w:rsidRPr="00000000" w14:paraId="000000E5">
      <w:pPr>
        <w:ind w:left="0" w:firstLine="0"/>
        <w:rPr/>
      </w:pPr>
      <w:r w:rsidDel="00000000" w:rsidR="00000000" w:rsidRPr="00000000">
        <w:rPr>
          <w:rtl w:val="0"/>
        </w:rPr>
        <w:t xml:space="preserve">In conclusion, addressing the financial complexities of heritage conservation requires a strategic, diversified approach. The persistent hurdles of high costs and risk, particularly in smaller municipalities, highlight the necessity for integrated funding solutions. Effective conservation depends on a synergy of public funding, private investment, and community engagement. Public programs, including grants and tax incentives, remain the cornerstone for ensuring the long-term survival of cultural heritage.</w:t>
      </w:r>
    </w:p>
    <w:p w:rsidR="00000000" w:rsidDel="00000000" w:rsidP="00000000" w:rsidRDefault="00000000" w:rsidRPr="00000000" w14:paraId="000000E6">
      <w:pPr>
        <w:pStyle w:val="Heading2"/>
        <w:numPr>
          <w:ilvl w:val="1"/>
          <w:numId w:val="1"/>
        </w:numPr>
        <w:ind w:left="576" w:hanging="576"/>
        <w:rPr/>
      </w:pPr>
      <w:r w:rsidDel="00000000" w:rsidR="00000000" w:rsidRPr="00000000">
        <w:rPr>
          <w:rtl w:val="0"/>
        </w:rPr>
        <w:t xml:space="preserve">The New Zealand Context for Economic Sustainability of Heritage Conservation</w:t>
      </w:r>
    </w:p>
    <w:p w:rsidR="00000000" w:rsidDel="00000000" w:rsidP="00000000" w:rsidRDefault="00000000" w:rsidRPr="00000000" w14:paraId="000000E7">
      <w:pPr>
        <w:ind w:left="0" w:firstLine="0"/>
        <w:rPr/>
      </w:pPr>
      <w:r w:rsidDel="00000000" w:rsidR="00000000" w:rsidRPr="00000000">
        <w:rPr>
          <w:rtl w:val="0"/>
        </w:rPr>
        <w:t xml:space="preserve">In New Zealand, the economic sustainability of conservation of heritage buildings is shaped by unique challenges and opportunities. A significant number of vacant and underutilised historical buildings in regional towns directly impacts community vitality and seismic resilience (Aigwi et al., 2018). While global trends, particularly in the EU, frame reuse of heritage buildings as a more cost-effective alternative to demolition and rebuilding (Hu &amp; Świerzawski, 2024; Rossitti et al., 2021). Specifically, Inal Kaynar’s thesis (2026) found that for listed unreinforced masonry buildings in Whanganui, the cost of adaptive reuse, including earthquake strengthening, typically ranges from 65% to 80% of the cost required to demolish and construct a new building of equivalent size.</w:t>
      </w:r>
    </w:p>
    <w:p w:rsidR="00000000" w:rsidDel="00000000" w:rsidP="00000000" w:rsidRDefault="00000000" w:rsidRPr="00000000" w14:paraId="000000E8">
      <w:pPr>
        <w:ind w:left="0" w:firstLine="0"/>
        <w:rPr/>
      </w:pPr>
      <w:r w:rsidDel="00000000" w:rsidR="00000000" w:rsidRPr="00000000">
        <w:rPr>
          <w:rtl w:val="0"/>
        </w:rPr>
        <w:t xml:space="preserve">Government grants and policies are essential for New Zealand's heritage protection, providing necessary financial backing for the preservation of built assets. However, research by Aigwi et al. (2021) indicates that larger urban centres often receive a disproportionately high share of this funding compared to provincial towns. This funding gap can stifle conservation efforts in regional towns across the country.</w:t>
      </w:r>
    </w:p>
    <w:p w:rsidR="00000000" w:rsidDel="00000000" w:rsidP="00000000" w:rsidRDefault="00000000" w:rsidRPr="00000000" w14:paraId="000000E9">
      <w:pPr>
        <w:ind w:left="0" w:firstLine="0"/>
        <w:rPr/>
      </w:pPr>
      <w:r w:rsidDel="00000000" w:rsidR="00000000" w:rsidRPr="00000000">
        <w:rPr>
          <w:rtl w:val="0"/>
        </w:rPr>
        <w:t xml:space="preserve">Various funding programs support the conservation of heritage buildings, including the Heritage New Zealand National Heritage Preservation Incentive Fund, the Regional Culture and Heritage Fund, and several local council and lottery grants (Ministry for Culture and Heritage New Zealand, 2025). The Heritage EQUIP scheme, managed by the Ministry for Culture and Heritage, facilitated seismic retrofitting for privately owned listed buildings between 2016 and 2020 but is no longer operational. These financial supports often fail to meet the total cost of the necessary earthquake strengthening (Filippova &amp; Noy, 2018). This economic pressure can make preservation projects unviable, prompting many owners to adopt a "wait and see" approach (Filippova &amp; Noy, 2018), which further contributes to the number of underutilised historical buildings (Aigwi et al., 2018). As a result, many historic structures in regional town centres face potential abandonment or demolition, detrimental to the socio-economic and cultural advancement of these communities (Aigwi, Filippova, et al., 2020).</w:t>
      </w:r>
    </w:p>
    <w:p w:rsidR="00000000" w:rsidDel="00000000" w:rsidP="00000000" w:rsidRDefault="00000000" w:rsidRPr="00000000" w14:paraId="000000EA">
      <w:pPr>
        <w:ind w:left="0" w:firstLine="0"/>
        <w:rPr/>
      </w:pPr>
      <w:r w:rsidDel="00000000" w:rsidR="00000000" w:rsidRPr="00000000">
        <w:rPr>
          <w:rtl w:val="0"/>
        </w:rPr>
        <w:t xml:space="preserve">On the other hand, Council reports emphasise the substantial value of heritage assets. In Auckland, the economic impact of such preservation is further detailed in a study of Auckland housing prices between 2006 and 2016. The findings reveal a 4.3% price premium for homes in Special Character Areas and a higher premium of 7.91% for those situated within both an SCA and a Heritage Area (Bade et al., 2020). In contrast, listed heritage buildings experienced an average price reduction of 9.6%, suggesting that while heritage restrictions can negatively impact individual heritage buildings, the overall presence of such structures in an area tends to increase general property prices (Bade et al., 2020).</w:t>
      </w:r>
    </w:p>
    <w:p w:rsidR="00000000" w:rsidDel="00000000" w:rsidP="00000000" w:rsidRDefault="00000000" w:rsidRPr="00000000" w14:paraId="000000EB">
      <w:pPr>
        <w:ind w:left="0" w:firstLine="0"/>
        <w:rPr/>
      </w:pPr>
      <w:r w:rsidDel="00000000" w:rsidR="00000000" w:rsidRPr="00000000">
        <w:rPr>
          <w:rtl w:val="0"/>
        </w:rPr>
        <w:t xml:space="preserve">In Whanganui, built heritage serves as a central economic pillar and a competitive advantage for the district. Listed heritage assets contribute approximately $34 million and support 1,000 jobs annually (Brent Wheeler Group, 2004). More recent findings show this impact has expanded to $40.8 million in total economic output, supporting over 2,500 jobs and remaining a fundamental component of the local tourism sector (Brent Wheeler Group, 2013).</w:t>
      </w:r>
    </w:p>
    <w:p w:rsidR="00000000" w:rsidDel="00000000" w:rsidP="00000000" w:rsidRDefault="00000000" w:rsidRPr="00000000" w14:paraId="000000EC">
      <w:pPr>
        <w:ind w:left="0" w:firstLine="0"/>
        <w:rPr/>
      </w:pPr>
      <w:r w:rsidDel="00000000" w:rsidR="00000000" w:rsidRPr="00000000">
        <w:rPr>
          <w:rtl w:val="0"/>
        </w:rPr>
        <w:t xml:space="preserve">In conclusion, the economic sustainability of heritage conservation in New Zealand depends on a delicate balance between the high financial requirements for seismic resilience and the demonstrable socio-economic value these assets provide. While adaptive reuse often represents a more cost-effective alternative to new construction, the significant investment required for earthquake strengthening often exceeds available financial support, leading to the "wait and see" approach. However, the substantial economic contributions of heritage, seen through property price premiums in cities like Auckland and the millions in economic output and job support in districts like Whanganui, underscore that heritage is a central pillar of local tourism and identity. Ultimately, for New Zealand to maintain its unique cultural landscape, policy frameworks must evolve to provide more equitable and robust financial incentives that address the specific economic pressures faced by regional building owners.</w:t>
      </w:r>
    </w:p>
    <w:p w:rsidR="00000000" w:rsidDel="00000000" w:rsidP="00000000" w:rsidRDefault="00000000" w:rsidRPr="00000000" w14:paraId="000000ED">
      <w:pPr>
        <w:pStyle w:val="Heading1"/>
        <w:numPr>
          <w:ilvl w:val="0"/>
          <w:numId w:val="1"/>
        </w:numPr>
        <w:ind w:left="432" w:hanging="432"/>
        <w:rPr/>
      </w:pPr>
      <w:r w:rsidDel="00000000" w:rsidR="00000000" w:rsidRPr="00000000">
        <w:rPr>
          <w:rtl w:val="0"/>
        </w:rPr>
        <w:t xml:space="preserve">Seismic Risk</w:t>
      </w:r>
    </w:p>
    <w:p w:rsidR="00000000" w:rsidDel="00000000" w:rsidP="00000000" w:rsidRDefault="00000000" w:rsidRPr="00000000" w14:paraId="000000EE">
      <w:pPr>
        <w:ind w:left="0" w:firstLine="0"/>
        <w:rPr/>
      </w:pPr>
      <w:r w:rsidDel="00000000" w:rsidR="00000000" w:rsidRPr="00000000">
        <w:rPr>
          <w:rtl w:val="0"/>
        </w:rPr>
        <w:t xml:space="preserve">The connection between seismic risk and sustainability may not be immediately apparent, but it is deeply intertwined with the United Nations Sustainable Development Goals (SDGs). The topic of seismic risk is related to Sustainable Development Goal 11, “Make cities and human settlements inclusive, safe, resilient and sustainable”. Disaster risk reduction is an essential part of SDG 11, and this is recognised in the 2030 Agenda for Sustainable Development (United Nations, 2015, 2023). Heritage conservation, which includes seismic refurbishment, can contribute to achieving that goal in seismically active regions.</w:t>
      </w:r>
    </w:p>
    <w:p w:rsidR="00000000" w:rsidDel="00000000" w:rsidP="00000000" w:rsidRDefault="00000000" w:rsidRPr="00000000" w14:paraId="000000EF">
      <w:pPr>
        <w:ind w:left="0" w:firstLine="0"/>
        <w:rPr/>
      </w:pPr>
      <w:r w:rsidDel="00000000" w:rsidR="00000000" w:rsidRPr="00000000">
        <w:rPr>
          <w:rtl w:val="0"/>
        </w:rPr>
        <w:t xml:space="preserve">A fundamental observation in global disaster management is the critical requirement for functional town centres to facilitate the delivery of essential services to populations affected by catastrophes. The earthquake sequence in Türkiye at the beginning of 2023 underlined this need. In the aftermath, survivors experienced a severe deficit of basic amenities, including food, clean water, and sanitation facilities, which persisted for weeks (Şenol Balaban et al., 2025). It is therefore imperative that town centre structures are able to maintain structural integrity during and after seismic events to provide necessary post-disaster support. Furthermore, the strategic restoration and adaptive reuse of heritage buildings, integrated with advanced seismic retrofitting, holds substantial potential to bolster urban earthquake resilience and support community recovery (Inal Kaynar et al., 2025).</w:t>
      </w:r>
    </w:p>
    <w:p w:rsidR="00000000" w:rsidDel="00000000" w:rsidP="00000000" w:rsidRDefault="00000000" w:rsidRPr="00000000" w14:paraId="000000F0">
      <w:pPr>
        <w:ind w:left="0" w:firstLine="0"/>
        <w:rPr/>
      </w:pPr>
      <w:r w:rsidDel="00000000" w:rsidR="00000000" w:rsidRPr="00000000">
        <w:rPr>
          <w:rtl w:val="0"/>
        </w:rPr>
        <w:t xml:space="preserve">As a further dimension of seismic resilience, its relationship to economic sustainability is critical, as discussed in the preceding "Economics of Cultural Heritage Conservation" section. The heritage building typology study conducted in Whanganui provides empirical evidence of this link, demonstrating how structural interventions directly influence the commercial and residential viability of heritage assets (Inal Kaynar et al., 2025).</w:t>
      </w:r>
    </w:p>
    <w:p w:rsidR="00000000" w:rsidDel="00000000" w:rsidP="00000000" w:rsidRDefault="00000000" w:rsidRPr="00000000" w14:paraId="000000F1">
      <w:pPr>
        <w:ind w:left="0" w:firstLine="0"/>
        <w:rPr/>
      </w:pPr>
      <w:r w:rsidDel="00000000" w:rsidR="00000000" w:rsidRPr="00000000">
        <w:rPr>
          <w:rtl w:val="0"/>
        </w:rPr>
        <w:t xml:space="preserve">The study reveals a clear correlation between seismic strengthening and habitation status, providing a compelling economic argument for structural upgrades. While only 44% of earthquake-prone heritage buildings are fully occupied, this figure increases significantly to 77% for buildings that have been seismically strengthened (Inal Kaynar et al., 2025). The 33% jump in occupancy rates highlights a substantial market preference for seismically resilient spaces. This demand underscores that strengthening is not merely a compliance cost but a value-adding investment. On the other hand, non-earthquake-prone buildings, such as timber buildings, have a total occupancy of 54% (Inal Kaynar et al., 2025). This suggests that while inherent safety is important, the highest occupancy is achieved in refurbished, strengthened spaces that combine heritage character with contemporary standards of safety and comfort.</w:t>
      </w:r>
    </w:p>
    <w:p w:rsidR="00000000" w:rsidDel="00000000" w:rsidP="00000000" w:rsidRDefault="00000000" w:rsidRPr="00000000" w14:paraId="000000F2">
      <w:pPr>
        <w:ind w:left="0" w:firstLine="0"/>
        <w:rPr/>
      </w:pPr>
      <w:r w:rsidDel="00000000" w:rsidR="00000000" w:rsidRPr="00000000">
        <w:rPr>
          <w:rtl w:val="0"/>
        </w:rPr>
        <w:t xml:space="preserve">For investors and building owners, the increased occupancy percentage (77%) serves as a motivator, transforming seismic resilience from a regulatory burden into a strategic opportunity for economic revitalisation. By prioritising these upgrades, stakeholders can ensure both the safety of the community and the long-term economic sustainability of the town’s heritage fabric.</w:t>
      </w:r>
    </w:p>
    <w:p w:rsidR="00000000" w:rsidDel="00000000" w:rsidP="00000000" w:rsidRDefault="00000000" w:rsidRPr="00000000" w14:paraId="000000F3">
      <w:pPr>
        <w:pStyle w:val="Heading1"/>
        <w:numPr>
          <w:ilvl w:val="0"/>
          <w:numId w:val="1"/>
        </w:numPr>
        <w:ind w:left="432" w:hanging="432"/>
        <w:rPr/>
      </w:pPr>
      <w:r w:rsidDel="00000000" w:rsidR="00000000" w:rsidRPr="00000000">
        <w:rPr>
          <w:rtl w:val="0"/>
        </w:rPr>
        <w:t xml:space="preserve">Future Research</w:t>
      </w:r>
    </w:p>
    <w:p w:rsidR="00000000" w:rsidDel="00000000" w:rsidP="00000000" w:rsidRDefault="00000000" w:rsidRPr="00000000" w14:paraId="000000F4">
      <w:pPr>
        <w:ind w:left="0" w:firstLine="0"/>
        <w:rPr/>
      </w:pPr>
      <w:r w:rsidDel="00000000" w:rsidR="00000000" w:rsidRPr="00000000">
        <w:rPr>
          <w:rtl w:val="0"/>
        </w:rPr>
        <w:t xml:space="preserve">While there is research on the economics and sustainability of heritage buildings in New Zealand, this has mostly focused on quantifying the economic value of heritage conservation through metrics such as tourism revenue and property value; significant gaps remain regarding integrated economic and sustainability assessments. </w:t>
      </w:r>
    </w:p>
    <w:p w:rsidR="00000000" w:rsidDel="00000000" w:rsidP="00000000" w:rsidRDefault="00000000" w:rsidRPr="00000000" w14:paraId="000000F5">
      <w:pPr>
        <w:ind w:left="0" w:firstLine="0"/>
        <w:rPr/>
      </w:pPr>
      <w:r w:rsidDel="00000000" w:rsidR="00000000" w:rsidRPr="00000000">
        <w:rPr>
          <w:rtl w:val="0"/>
        </w:rPr>
        <w:t xml:space="preserve">To address these gaps, future research could focus on a detailed life cycle assessment and life cycle costing study specifically targeting the economic and sustainability effects of restoration and adaptive reuse for New Zealand case studies. This research should integrate seismic strengthening, a national priority given that many unreinforced masonry buildings face mandatory upgrades, with comprehensive energy retrofits. Critically, the study should account for potential seismic damage losses and preservation-oriented repair costs, providing a direct comparison against the environmental and economic waste associated with demolition and reconstruction.</w:t>
      </w:r>
    </w:p>
    <w:p w:rsidR="00000000" w:rsidDel="00000000" w:rsidP="00000000" w:rsidRDefault="00000000" w:rsidRPr="00000000" w14:paraId="000000F6">
      <w:pPr>
        <w:ind w:left="0" w:firstLine="0"/>
        <w:rPr/>
      </w:pPr>
      <w:r w:rsidDel="00000000" w:rsidR="00000000" w:rsidRPr="00000000">
        <w:rPr>
          <w:rtl w:val="0"/>
        </w:rPr>
        <w:t xml:space="preserve">In addition to long-term assessments, a targeted, shorter-term study is also needed to specifically calculate the difference in construction and demolition waste between the demolition/rebuild model and the restoration of existing buildings. The environmental and logistical burden of demolition was highlighted following the 2010/2011 Canterbury earthquake sequence, which generated approximately 4 million tonnes of debris from the demolition of roughly 1,400 commercial properties and 7,500 dwellings (Gonzalez et al., 2022). Quantifying these waste volumes for heritage restoration versus new builds would provide clear evidence for waste minimisation strategies.</w:t>
      </w:r>
    </w:p>
    <w:p w:rsidR="00000000" w:rsidDel="00000000" w:rsidP="00000000" w:rsidRDefault="00000000" w:rsidRPr="00000000" w14:paraId="000000F7">
      <w:pPr>
        <w:ind w:left="0" w:firstLine="0"/>
        <w:rPr/>
      </w:pPr>
      <w:r w:rsidDel="00000000" w:rsidR="00000000" w:rsidRPr="00000000">
        <w:rPr>
          <w:rtl w:val="0"/>
        </w:rPr>
        <w:t xml:space="preserve">Such a comprehensive evidence base would be helpful for stakeholders, enabling them to communicate the positive effects of heritage conservation in concrete numbers to both the general public and policymakers. Moving from "anecdotal storytelling" to scientific data is essential for proving the relevance of heritage to broader social and economic issues. Providing a quantitative breakdown of how integrated retrofits reduce greenhouse gas emissions while maintaining cultural and urban vibrancy can support the shift toward a new norm of strengthening and preservation in Aotearoa. This data-driven approach has the potential to empower policymakers to make more informed decisions regarding New Zealand’s building stock, ensuring that heritage buildings are seen as assets rather than costly liabilities.</w:t>
      </w:r>
    </w:p>
    <w:p w:rsidR="00000000" w:rsidDel="00000000" w:rsidP="00000000" w:rsidRDefault="00000000" w:rsidRPr="00000000" w14:paraId="000000F8">
      <w:pPr>
        <w:pStyle w:val="Heading1"/>
        <w:numPr>
          <w:ilvl w:val="0"/>
          <w:numId w:val="1"/>
        </w:numPr>
        <w:ind w:left="432" w:hanging="432"/>
        <w:rPr/>
      </w:pPr>
      <w:r w:rsidDel="00000000" w:rsidR="00000000" w:rsidRPr="00000000">
        <w:rPr>
          <w:rtl w:val="0"/>
        </w:rPr>
        <w:t xml:space="preserve">Conclusion</w:t>
      </w:r>
    </w:p>
    <w:p w:rsidR="00000000" w:rsidDel="00000000" w:rsidP="00000000" w:rsidRDefault="00000000" w:rsidRPr="00000000" w14:paraId="000000F9">
      <w:pPr>
        <w:ind w:left="0" w:firstLine="0"/>
        <w:rPr/>
      </w:pPr>
      <w:r w:rsidDel="00000000" w:rsidR="00000000" w:rsidRPr="00000000">
        <w:rPr>
          <w:rtl w:val="0"/>
        </w:rPr>
        <w:t xml:space="preserve">In conclusion, this research has established a comprehensive framework for understanding the intersection of heritage conservation, economics, and sustainability by synthesising findings from 55 references. The study identified 29 distinct criteria organised into four primary thematic areas: environmental sustainability, economic sustainability, social resilience, and seismic resilience. This systematic mapping demonstrates that heritage conservation is a vital component of global sustainable development, aligning directly with SDGs.</w:t>
      </w:r>
    </w:p>
    <w:p w:rsidR="00000000" w:rsidDel="00000000" w:rsidP="00000000" w:rsidRDefault="00000000" w:rsidRPr="00000000" w14:paraId="000000FA">
      <w:pPr>
        <w:ind w:left="0" w:firstLine="0"/>
        <w:rPr/>
      </w:pPr>
      <w:r w:rsidDel="00000000" w:rsidR="00000000" w:rsidRPr="00000000">
        <w:rPr>
          <w:rtl w:val="0"/>
        </w:rPr>
        <w:t xml:space="preserve">The findings emphasise that the conservation of heritage buildings provides tangible economic and environmental advantages. Specifically, conservation efforts can offer significant cost savings compared to demolition and new construction while preserving the embodied energy of the built environment and lowering the construction and demolition waste. Beyond material efficiency, heritage projects have been shown to drive local growth by improving building occupancy rates and increasing returns on investment for stakeholders. Furthermore, the integration of seismic strengthening ensures the long-term safety and viability of the heritage fabric within urban environments.</w:t>
      </w:r>
    </w:p>
    <w:p w:rsidR="00000000" w:rsidDel="00000000" w:rsidP="00000000" w:rsidRDefault="00000000" w:rsidRPr="00000000" w14:paraId="000000FB">
      <w:pPr>
        <w:ind w:left="0" w:firstLine="0"/>
        <w:rPr/>
      </w:pPr>
      <w:r w:rsidDel="00000000" w:rsidR="00000000" w:rsidRPr="00000000">
        <w:rPr>
          <w:rtl w:val="0"/>
        </w:rPr>
        <w:t xml:space="preserve">Ultimately, this project delivers a comprehensive literature database categorised by specific thematic subtopics, enabling stakeholders to efficiently access targeted information on the sustainability and economics of heritage. Accompanied by this written report summarising the key findings, the research provides a structured framework for evaluating the multifaceted benefits of conservation. By treating heritage as a functional asset that supports economic prosperity and sustainability, stakeholders can better justify preservation efforts as essential to the long-term resilience of contemporary communities.</w:t>
      </w:r>
    </w:p>
    <w:p w:rsidR="00000000" w:rsidDel="00000000" w:rsidP="00000000" w:rsidRDefault="00000000" w:rsidRPr="00000000" w14:paraId="000000FC">
      <w:pPr>
        <w:pStyle w:val="Heading1"/>
        <w:numPr>
          <w:ilvl w:val="0"/>
          <w:numId w:val="1"/>
        </w:numPr>
        <w:ind w:left="432" w:hanging="432"/>
        <w:rPr/>
      </w:pPr>
      <w:r w:rsidDel="00000000" w:rsidR="00000000" w:rsidRPr="00000000">
        <w:rPr>
          <w:rtl w:val="0"/>
        </w:rPr>
        <w:t xml:space="preserve">References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Aigwi, I. E., Egbelakin, T., &amp; Ingham, J. (2018). Efficacy of adaptive reuse for the redevelopment of underutilised historical buildings.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International Journal of Building Pathology and Adaptation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36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385-407. </w:t>
      </w:r>
      <w:hyperlink r:id="rId8">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https://doi.org/10.1108/IJBPA-01-2018-0007</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Aigwi, I. E., Filippova, O., Ingham, J., &amp; Phipps, R. (2020). Unintended consequences of the earthquake-prone building legislation: An evaluation of two city centre regeneration strategies in New Zealand's provincial areas.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International Journal of Disaster Risk Reduction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49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101644. </w:t>
      </w:r>
      <w:hyperlink r:id="rId9">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https://doi.org/https://doi.org/10.1016/j.ijdrr.2020.101644</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Aigwi, I. E., Filippova, O., Ingham, J., &amp; Phipps, R. (2021). From drag to brag: The role of government grants in enhancing built heritage protection efforts in New Zealand's provincial regions.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Journal of Rural Studies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87</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45-57. </w:t>
      </w:r>
      <w:hyperlink r:id="rId10">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https://doi.org/10.1016/j.jrurstud.2021.08.024</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Aigwi, I. E., Ingham, J., Phipps, R., &amp; Filippova, O. (2020). Identifying parameters for a performance-based framework: Towards prioritising underutilised historical buildings for adaptive reuse in New Zealand.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102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102756. </w:t>
      </w:r>
      <w:hyperlink r:id="rId11">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https://doi.org/https://doi.org/10.1016/j.cities.2020.102756</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Aigwi, I. E., Nwadike, A., Le, A., Rotimi, F., Sorrell, T., Jafarzadeh, R., &amp; Rotimi, J. (2022). Prioritising optimal underutilised historical buildings for adaptive reuse: a performance-based MCDA framework validation in Auckland, New Zealand.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Smart and Sustainable Built Environment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r:id="rId12">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https://doi.org/10.1108/SASBE-08-2021-0139</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Andreucci, M. B., &amp; Karagözler, S. (2025). Adaptive Reuse of Existing Buildings. In L. Bragança, P. Griffiths, R. Askar, A. Salles, V. Ungureanu, K. Tsikaloudaki, D. Bajare, G. Zsembinszki, &amp; M. Cvetkovska (Eds.),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Circular Economy Design and Management in the Built Environment: A Critical Review of the State of the Art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(pp. 283-294). Springer Nature Switzerland. </w:t>
      </w:r>
      <w:hyperlink r:id="rId13">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https://doi.org/10.1007/978-3-031-73490-8_11</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Armstrong, G., Wilkinson, S., &amp; Cilliers, E. J. (2023). A framework for sustainable adaptive reuse: understanding vacancy and underuse in existing urban buildings.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Frontiers in Sustainable Cities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r:id="rId14">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https://doi.org/10.3389/frsc.2023.985656</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Arterial Network, Culture Action Europe, ICOMOS, IFCCD, IFLA, IMC, &amp; UCLG. (2022).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Culture Goal Is Essential for Our Common Future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Arterial Network, Culture Action Europe, ICOMOS, IFCCD, IFLA, IMC, &amp; UCLG. (2023, 7.06.2023).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The Missing Link: Still Time to Correct The Failure of The SDG Summit Declaration to Mention Culture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Bade, D., Castillo, J. G., Fernandez, M. A., &amp; Aguilar-Bohorquez, J. (2020). The price premium of heritage in the housing market: evidence from Auckland, New Zealand.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Land use policy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99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105042. </w:t>
      </w:r>
      <w:hyperlink r:id="rId15">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https://doi.org/https://doi.org/10.1016/j.landusepol.2020.105042</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Bell, R. (2023).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Adaptive Reuse and Its Impact on Workforce Revitalization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Drexel University]. Philadelphia, Pennsylvania.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Brent Wheeler Group. (2004).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The Value of Built Heritage Assets in Wanganui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Brent Wheeler Group. (2013).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The Value of Built Heritage Assets in Wanganui An update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Bullen, P. A., &amp; Love, P. E. D. (2010). The rhetoric of adaptive reuse or reality of demolition: Views from the field.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27</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215-224. </w:t>
      </w:r>
      <w:hyperlink r:id="rId16">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https://doi.org/https://doi.org/10.1016/j.cities.2009.12.005</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Burnham, B. (2022). A Blended Finance Framework for Heritage-Led Urban Regeneration.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Land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11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1154.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Cao, X., Dai, X., &amp; Liu, J. (2016). Building energy-consumption status worldwide and the state-of-the-art technologies for zero-energy buildings during the past decade.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Energy and Buildings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128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198-213. </w:t>
      </w:r>
      <w:hyperlink r:id="rId17">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https://doi.org/https://doi.org/10.1016/j.enbuild.2016.06.089</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 J. C. T., Bachmann, C., &amp; Haas, C. (2020). Potential economic and energy impacts of substituting adaptive reuse for new building construction: A case study of Ontario.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Journal of Cleaner Production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259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120939. </w:t>
      </w:r>
      <w:hyperlink r:id="rId18">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https://doi.org/https://doi.org/10.1016/j.jclepro.2020.120939</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Cinieri, V., &amp; Garzulino, A. (2022). A Sustainable Opportunity to Re-Inhabit Traditional Buildings in Italy: Energy Efficiency Actions End Fiscal Incentives.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Architecture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660-670. </w:t>
      </w:r>
      <w:hyperlink r:id="rId19">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https://www.mdpi.com/2673-8945/2/4/35</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Crawford, R., &amp; Hall, M. (2020).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Embodied energy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Australian Government. Retrieved 02/08/2023 from </w:t>
      </w:r>
      <w:hyperlink r:id="rId20">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https://www.yourhome.gov.au/materials/embodied-energy</w:t>
        </w:r>
      </w:hyperlink>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Crawford, R. H. (2014). Post-occupancy life cycle energy assessment of a residential building in Australia.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Architectural Science Review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57</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114-124. </w:t>
      </w:r>
      <w:hyperlink r:id="rId21">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https://doi.org/10.1080/00038628.2013.819556</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Dell’Anna, F. (2022). What Advantages Do Adaptive Industrial Heritage Reuse Processes Provide? An Econometric Model for Estimating the Impact on the Surrounding Residential Housing Market.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Heritage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1572-1592.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Dimabayao, J. J., Lara, J. L., Canoura, L. G., &amp; Solheim, S. (2025). Integrating Climate Risk in Cultural Heritage: A Critical Review of Assessment Frameworks.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Heritage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312. </w:t>
      </w:r>
      <w:hyperlink r:id="rId22">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https://www.mdpi.com/2571-9408/8/8/312</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Douglas, J. (2006).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Building adaptation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(2nd ed.). Butterworth-Heinemann.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Duffy, P. A., Nerguti, A., Purcell, D. C. E., &amp; Cox, P. (2019).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Understanding Carbon in the Historic Environment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 England.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English Heritage. (2008).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Conservation Principles Policies and Guidance For The Sustainable Management of The Historic Environment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English Heritage,.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Filippova, O., &amp; Noy, I. (2018).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Preventing buildings from falling down : challenges for earthquake-strengthening policy in small-town New Zealand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School of Economics and Finance, Victoria University of Wellington.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Gonzalez, R. E., Stephens, M. T., Toma, C., &amp; Dowdell, D. (2022). The Estimated Carbon Cost of Concrete Building Demolitions following the Canterbury Earthquake Sequence.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Earthquake Spectra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38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1615-1635. </w:t>
      </w:r>
      <w:hyperlink r:id="rId23">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https://doi.org/10.1177/87552930221082684</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Hassan, M. C. (2023). Adaptive Reuse of Historic Buildings towards a Resilient Heritage. In K. F. Hmood (Ed.),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Conservation of Urban and Architectural Heritage - Past, Present and Future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IntechOpen. </w:t>
      </w:r>
      <w:hyperlink r:id="rId24">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https://doi.org/10.5772/intechopen.110280</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Haugen, A., Bertolin, C., Leijonhufvud, G., Olstad, T., &amp; Broström, T. (2018). A Methodology for Long-Term Monitoring of Climate Change Impacts on Historic Buildings.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Geosciences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370. </w:t>
      </w:r>
      <w:hyperlink r:id="rId25">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https://www.mdpi.com/2076-3263/8/10/370</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Hu, M., &amp; Świerzawski, J. (2024). Assessing the environmental benefits of adaptive reuse in historical buildings. A case study of a life cycle assessment approach.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Sustainable Environment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10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2375439. </w:t>
      </w:r>
      <w:hyperlink r:id="rId26">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https://doi.org/10.1080/27658511.2024.2375439</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ICOMOS Australia. (2013).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The Australia ICOMOS Charter for Places of Cultural Significance (The Burra Charter)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ICOMOS Australia.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ICOMOS New Zealand. (2010).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ICOMOS New Zealand Charter for the Conservation of Places of Cultural Heritage Value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ICOMOS New Zealand.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Inal Kaynar, C. (2026).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Adaptive Reuse of Heritage Buildings In New Zealand Towns: Fostering Resilience, Sustainability and Conservation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Te Herenga Waka Victoria University of Wellington].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Inal Kaynar, C., Isaacs, N., Brown, A., &amp; Noy, I. (2025). Adaptive Reuse in New Zealand: Enhancing Small-Town Resilience Through Heritage Buildings. Protection of Historical Constructions, Naples, Italy.</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Itard, L., &amp; Klunder, G. (2007). Comparing environmental impacts of renovated housing stock with new construction.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Building Research &amp;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35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252-267. </w:t>
      </w:r>
      <w:hyperlink r:id="rId27">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https://doi.org/10.1080/09613210601068161</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Jin, R., Li, B., Zhou, T., Wanatowski, D., &amp; Piroozfar, P. (2017). An empirical study of perceptions towards construction and demolition waste recycling and reuse in China.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Resources, Conservation and Recycling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126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86-98. </w:t>
      </w:r>
      <w:hyperlink r:id="rId28">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https://doi.org/10.1016/j.resconrec.2017.07.034</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Kabirifar, K., Mojtahedi, M., Wang, C., &amp; Tam, V. W. Y. (2020). Construction and demolition waste management contributing factors coupled with reduce, reuse, and recycle strategies for effective waste management: A review.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Journal of Cleaner Production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263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r:id="rId29">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https://doi.org/10.1016/j.jclepro.2020.121265</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Kohler, N., &amp; Yang, W. (2007). Long-term management of building stocks.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Building Research &amp; Information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35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351-362. </w:t>
      </w:r>
      <w:hyperlink r:id="rId30">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https://doi.org/10.1080/09613210701308962</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Labadi, S., Giliberto, F., Rosetti, I., Shetabi, L., Yildirim, E., &amp; ICOMOS. (2021).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Heritage and the sustainable development goals: Policy guidance for heritage and development actors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(1352-7258). (International Journal of Heritage Studies, Issue.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Langston, C. (2008). The sustainability implications of building adaptive reuse. CRIOCM 2008 international research symposium on advancement of construction management and real estate, Beijing, China,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Langston, C. (2011). Green Adaptive Reuse: Issues and Strategies for the Built Environment. In D. D. Wu (Ed.),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Modeling Risk Management in Sustainable Construction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(pp. 199-209). Springer Berlin Heidelberg.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Langston, C., Wong, F. K. W., Hui, E. C. M., &amp; Shen, L.-Y. (2008). Strategic assessment of building adaptive reuse opportunities in Hong Kong.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Building and Environment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43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1709-1718. </w:t>
      </w:r>
      <w:hyperlink r:id="rId31">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https://doi.org/https://doi.org/10.1016/j.buildenv.2007.10.017</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Lupu, A., &amp; Allegro, I. (2024). Circular Financing Mechanisms for Adaptive Reuse of Cultural Heritage. In L. Fusco Girard &amp; A. Gravagnuolo (Eds.),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Adaptive Reuse of Cultural Heritage: Circular Business, Financial and Governance Models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(pp. 523-544). Springer International Publishing. </w:t>
      </w:r>
      <w:hyperlink r:id="rId32">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https://doi.org/10.1007/978-3-031-67628-4_20</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McDonald, M. (2000). Tourism, Heritage Buildings, and Tax Relief.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Journal of Travel Research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38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282-291. </w:t>
      </w:r>
      <w:hyperlink r:id="rId33">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https://doi.org/10.1177/004728750003800311</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Merlino, K. R. (2018).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Building Reuse Sustainability, Preservation, and the Value of Design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University of Washington Press. </w:t>
      </w:r>
      <w:hyperlink r:id="rId34">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http://www.jstor.org/stable/j.ctvcwnhr3</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Ministry for Culture and Heritage New Zealand. (2025).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Built heritage support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Retrieved 04.12.2025 from </w:t>
      </w:r>
      <w:hyperlink r:id="rId35">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https://www.mch.govt.nz/our-work/heritage-sector/built-heritage-support</w:t>
        </w:r>
      </w:hyperlink>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Mohamed, R., Boyle, R., Yang, A. Y., &amp; Tangari, J. (2017). Adaptive reuse: a review and analysis of its relationship to the 3 Es of sustainability.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Facilities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35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(3/4), 138-154. </w:t>
      </w:r>
      <w:hyperlink r:id="rId36">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https://doi.org/10.1108/F-12-2014-0108</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Nel, E., Connelly, S., &amp; Stevenson, T. (2019). New Zealand's small town transition: The experience of demographic and economic change and place based responses.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New Zealand geographer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75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163-176. </w:t>
      </w:r>
      <w:hyperlink r:id="rId37">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https://doi.org/10.1111/nzg.12240</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Zealand Ministry for the Environment. (2022).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Waste disposal levy expansion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New Zealand Ministry for the Environment. Retrieved 07/08/2023 from </w:t>
      </w:r>
      <w:hyperlink r:id="rId38">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https://environment.govt.nz/what-government-is-doing/areas-of-work/waste/waste-disposal-levy/expansion/#timeline-for-the-increase-and-expansion-of-the-waste-levy</w:t>
        </w:r>
      </w:hyperlink>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Paschoalin, R., Isaacs, N., &amp; Chicca, F. (2023, 2023//). The Environmental Impact of Retrofitting Heritage Buildings in New Zealand. Proc. of the 5th International Conference on Building Energy and Environment, Singapore.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Pattinson, M., &amp; Egbelakin, T. (2016).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An assessment tool for seismic strengthening of heritage buildings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New Zealand Society for Earthquake Engineers (NZSEE): Reducing Risk Raising Resilience, Christchurch, New Zealand. </w:t>
      </w:r>
      <w:hyperlink r:id="rId39">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https://mro-ns.massey.ac.nz/handle/10179/10109?show=full</w:t>
        </w:r>
      </w:hyperlink>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Rohani, M., Huang, T., Hoffman, L., Roberts, M., &amp; Ribeiro, B. (2019).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Cost Benefit Analysis of Construction and Demolition Waste Diversion from Landfill: A case study based on HLC Ltd development in Auckland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Romano, E., Formisano, A., Landolfo, R., &amp; Negro, P. (2025, 2025//). A Multi-Performance Assessment Methodology for the Seismic and Energy Retrofit of Buildings. Protection of Historical Constructions, Cham.</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Rossitti, M., Oppio, A., &amp; Torrieri, F. (2021). The Financial Sustainability of Cultural Heritage Reuse Projects: An Integrated Approach for the Historical Rural Landscape.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Sustainability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13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 13130.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Rossitti, M., Oteri, A. M., &amp; Torrieri, F. (2025). The social value of built heritage: an interdisciplinary discourse.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Built Heritage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5. </w:t>
      </w:r>
      <w:hyperlink r:id="rId40">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https://doi.org/10.1186/s43238-025-00173-4</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Rypkema, D. (2013). Historic Preservation: The Real Sustainable Development. In G. Madhavan, B. Oakley, D. Green, D. Koon, &amp; P. Low (Eds.),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Practicing Sustainability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(pp. 233-238). Springer New York. </w:t>
      </w:r>
      <w:hyperlink r:id="rId41">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https://doi.org/10.1007/978-1-4614-4349-0_45</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Rypkema, D. (2021). Measuring the Impacts: Making a Case for the Adaptive Reuse of Heritage Buildings. In K. Cummer &amp; L. D. DiStefano (Eds.),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Asian Revitalization, Adaptive Reuse in Hong Kong, Shangai and Singapore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(pp. 32- 37). Hong Kong University Press.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Saleh, T., &amp; Chini, A. (2009). Building green via design for deconstruction and adaptive reuse.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Lifecycle Design of Buildings, Systems and Materials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29.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Sanchez, B., Esnaashary Esfahani, M., &amp; Haas, C. (2019). A methodology to analyze the net environmental impacts and building’s cost performance of an adaptive reuse project: a case study of the Waterloo County Courthouse renovations.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Environment Systems and Decisions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39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419-438. </w:t>
      </w:r>
      <w:hyperlink r:id="rId42">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https://doi.org/10.1007/s10669-019-09734-2</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Savoie, É., Sapinski, J. P., &amp; Laroche, A.-M. (2025). Key factors for revitalising heritage buildings through adaptive reuse.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Buildings &amp; Cities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w:t>
      </w:r>
      <w:hyperlink r:id="rId43">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https://doi.org/10.5334/bc.495</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Şenol Balaban, M., Doğulu, C., Akdede, N., Akoğlu, H., Karakayalı, O., Yılmaz, S., Yılmaz, S., Ajobiewe, T., Güzel, S., İkizer, G., Akin, M., Ünal, Y., &amp; Karancı, A. N. (2025). Emergency response, and community impact after February 6, 2023 Kahramanmaraş Pazarcık and Elbistan Earthquakes: reconnaissance findings and observations on affected region in Türkiye.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Bulletin of Earthquake Engineering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23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1053-1081. </w:t>
      </w:r>
      <w:hyperlink r:id="rId44">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https://doi.org/10.1007/s10518-024-01867-3</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Shi, M., &amp; Huang, X. (2025). Reuse of Public Heritage Buildings: Analysis of the Successful Practices and Identification of the Obstacle.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Open Journal of Social Sciences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13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(01), 322-351. </w:t>
      </w:r>
      <w:hyperlink r:id="rId45">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https://doi.org/10.4236/jss.2025.131020</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Shipley, R., Utz, S., &amp; Parsons, M. (2006). Does Adaptive Reuse Pay? A Study of the Business of Building Renovation in Ontario, Canada.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International Journal of Heritage Studies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12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505-520. </w:t>
      </w:r>
      <w:hyperlink r:id="rId46">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https://doi.org/10.1080/13527250600940181</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Stevens, F. C. (2015).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Earthquake Response for Built Heritage in New Zealand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ICOMOS NZ Conference and AGM,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Stone, S., &amp; Brooker, G. (2004).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Rereadings: interior architecture and the design principles of remodelling existing buildings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RIBA Publishing.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Kultur ve Tabiat Varliklarini Koruma Kanunu, (1983).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UNESCO. (2013).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New life for historic cities, The historic urban landscape approach explained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UNESCO.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United Nations. (2015).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Resolution adopted by the General Assembly on 25 September 2015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United Nations.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United Nations. (2023).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The 17 Goals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United Nations. Retrieved 20/07/2023 from </w:t>
      </w:r>
      <w:hyperlink r:id="rId47">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https://sdgs.un.org/goals</w:t>
        </w:r>
      </w:hyperlink>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Vicente, R., Ferreira, T. M., &amp; Mendes da Silva, J. A. R. (2015). Supporting urban regeneration and building refurbishment. Strategies for building appraisal and inspection of old building stock in city centres.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Journal of Cultural Heritage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16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1-14. </w:t>
      </w:r>
      <w:hyperlink r:id="rId48">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https://doi.org/https://doi.org/10.1016/j.culher.2014.03.004</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Vojinović, B., Križanič, F., &amp; Kolšek, V. (2020). Effects of Renewal Investments in Immovable Cultural Heritage on Slovenian Public Finances: Convergence with Selected EU Countries.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Društvena istraživanja : časopis za opća društvena pitanja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29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395-412. </w:t>
      </w:r>
      <w:hyperlink r:id="rId49">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https://doi.org/https://doi.org/10.5559/di.29.3.03</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Wise, F., Moncaster, A., Jones, D., &amp; Dewberry, E. (2019). Considering embodied energy &amp; carbon in heritage buildings – a review.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IOP Conference Series: Earth and Environmental Science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329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012002. </w:t>
      </w:r>
      <w:hyperlink r:id="rId50">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https://doi.org/10.1088/1755-1315/329/1/012002</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Zhang, Y., &amp; Zhang, Q. (2023). A model approach for post evaluation of adaptive reuse of architectural heritage: a case study of Beijing central axis historical buildings.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Heritage Science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11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57. </w:t>
      </w:r>
      <w:hyperlink r:id="rId51">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https://doi.org/10.1186/s40494-023-00902-x</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6">
      <w:pPr>
        <w:ind w:firstLine="0"/>
        <w:rPr/>
      </w:pPr>
      <w:r w:rsidDel="00000000" w:rsidR="00000000" w:rsidRPr="00000000">
        <w:rPr>
          <w:rtl w:val="0"/>
        </w:rPr>
      </w:r>
    </w:p>
    <w:sectPr>
      <w:footerReference r:id="rId52" w:type="default"/>
      <w:pgSz w:h="16838" w:w="11906" w:orient="portrait"/>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360" w:lineRule="auto"/>
      <w:ind w:left="0" w:right="0" w:firstLine="567"/>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360" w:lineRule="auto"/>
      <w:ind w:left="0" w:right="0" w:firstLine="56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NZ"/>
      </w:rPr>
    </w:rPrDefault>
    <w:pPrDefault>
      <w:pPr>
        <w:spacing w:after="40" w:before="20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40" w:lineRule="auto"/>
      <w:ind w:left="431" w:hanging="431"/>
    </w:pPr>
    <w:rPr>
      <w:b w:val="1"/>
      <w:bCs w:val="1"/>
      <w:sz w:val="28"/>
      <w:szCs w:val="28"/>
    </w:rPr>
  </w:style>
  <w:style w:type="paragraph" w:styleId="Heading2">
    <w:name w:val="heading 2"/>
    <w:basedOn w:val="Normal"/>
    <w:next w:val="Normal"/>
    <w:pPr>
      <w:keepNext w:val="1"/>
      <w:keepLines w:val="1"/>
      <w:spacing w:after="80" w:before="200" w:lineRule="auto"/>
      <w:ind w:left="576" w:hanging="576"/>
    </w:pPr>
    <w:rPr>
      <w:sz w:val="26"/>
      <w:szCs w:val="26"/>
    </w:rPr>
  </w:style>
  <w:style w:type="paragraph" w:styleId="Heading3">
    <w:name w:val="heading 3"/>
    <w:basedOn w:val="Normal"/>
    <w:next w:val="Normal"/>
    <w:pPr>
      <w:keepNext w:val="1"/>
      <w:keepLines w:val="1"/>
      <w:spacing w:before="120" w:lineRule="auto"/>
      <w:ind w:left="720" w:hanging="720"/>
    </w:pPr>
    <w:rPr>
      <w:sz w:val="26"/>
      <w:szCs w:val="26"/>
    </w:rPr>
  </w:style>
  <w:style w:type="paragraph" w:styleId="Heading4">
    <w:name w:val="heading 4"/>
    <w:basedOn w:val="Normal"/>
    <w:next w:val="Normal"/>
    <w:pPr>
      <w:keepNext w:val="1"/>
      <w:keepLines w:val="1"/>
      <w:spacing w:before="120" w:lineRule="auto"/>
      <w:ind w:left="864" w:hanging="864"/>
    </w:pPr>
    <w:rPr>
      <w:b w:val="1"/>
      <w:bCs w:val="1"/>
    </w:rPr>
  </w:style>
  <w:style w:type="paragraph" w:styleId="Heading5">
    <w:name w:val="heading 5"/>
    <w:basedOn w:val="Normal"/>
    <w:next w:val="Normal"/>
    <w:pPr>
      <w:keepNext w:val="1"/>
      <w:keepLines w:val="1"/>
      <w:spacing w:after="0" w:before="80" w:lineRule="auto"/>
      <w:ind w:firstLine="0"/>
    </w:pPr>
    <w:rPr>
      <w:b w:val="1"/>
      <w:bCs w:val="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ind w:firstLine="567"/>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186/s43238-025-00173-4" TargetMode="External"/><Relationship Id="rId42" Type="http://schemas.openxmlformats.org/officeDocument/2006/relationships/hyperlink" Target="https://doi.org/10.1007/s10669-019-09734-2" TargetMode="External"/><Relationship Id="rId41" Type="http://schemas.openxmlformats.org/officeDocument/2006/relationships/hyperlink" Target="https://doi.org/10.1007/978-1-4614-4349-0_45" TargetMode="External"/><Relationship Id="rId44" Type="http://schemas.openxmlformats.org/officeDocument/2006/relationships/hyperlink" Target="https://doi.org/10.1007/s10518-024-01867-3" TargetMode="External"/><Relationship Id="rId43" Type="http://schemas.openxmlformats.org/officeDocument/2006/relationships/hyperlink" Target="https://doi.org/10.5334/bc.495" TargetMode="External"/><Relationship Id="rId46" Type="http://schemas.openxmlformats.org/officeDocument/2006/relationships/hyperlink" Target="https://doi.org/10.1080/13527250600940181" TargetMode="External"/><Relationship Id="rId45" Type="http://schemas.openxmlformats.org/officeDocument/2006/relationships/hyperlink" Target="https://doi.org/10.4236/jss.2025.1310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https://doi.org/10.1016/j.ijdrr.2020.101644" TargetMode="External"/><Relationship Id="rId48" Type="http://schemas.openxmlformats.org/officeDocument/2006/relationships/hyperlink" Target="https://doi.org/https://doi.org/10.1016/j.culher.2014.03.004" TargetMode="External"/><Relationship Id="rId47" Type="http://schemas.openxmlformats.org/officeDocument/2006/relationships/hyperlink" Target="https://sdgs.un.org/goals" TargetMode="External"/><Relationship Id="rId49" Type="http://schemas.openxmlformats.org/officeDocument/2006/relationships/hyperlink" Target="https://doi.org/https://doi.org/10.5559/di.29.3.0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i.org/10.1108/IJBPA-01-2018-0007" TargetMode="External"/><Relationship Id="rId31" Type="http://schemas.openxmlformats.org/officeDocument/2006/relationships/hyperlink" Target="https://doi.org/https://doi.org/10.1016/j.buildenv.2007.10.017" TargetMode="External"/><Relationship Id="rId30" Type="http://schemas.openxmlformats.org/officeDocument/2006/relationships/hyperlink" Target="https://doi.org/10.1080/09613210701308962" TargetMode="External"/><Relationship Id="rId33" Type="http://schemas.openxmlformats.org/officeDocument/2006/relationships/hyperlink" Target="https://doi.org/10.1177/004728750003800311" TargetMode="External"/><Relationship Id="rId32" Type="http://schemas.openxmlformats.org/officeDocument/2006/relationships/hyperlink" Target="https://doi.org/10.1007/978-3-031-67628-4_20" TargetMode="External"/><Relationship Id="rId35" Type="http://schemas.openxmlformats.org/officeDocument/2006/relationships/hyperlink" Target="https://www.mch.govt.nz/our-work/heritage-sector/built-heritage-support" TargetMode="External"/><Relationship Id="rId34" Type="http://schemas.openxmlformats.org/officeDocument/2006/relationships/hyperlink" Target="http://www.jstor.org/stable/j.ctvcwnhr3" TargetMode="External"/><Relationship Id="rId37" Type="http://schemas.openxmlformats.org/officeDocument/2006/relationships/hyperlink" Target="https://doi.org/10.1111/nzg.12240" TargetMode="External"/><Relationship Id="rId36" Type="http://schemas.openxmlformats.org/officeDocument/2006/relationships/hyperlink" Target="https://doi.org/10.1108/F-12-2014-0108" TargetMode="External"/><Relationship Id="rId39" Type="http://schemas.openxmlformats.org/officeDocument/2006/relationships/hyperlink" Target="https://mro-ns.massey.ac.nz/handle/10179/10109?show=full" TargetMode="External"/><Relationship Id="rId38" Type="http://schemas.openxmlformats.org/officeDocument/2006/relationships/hyperlink" Target="https://environment.govt.nz/what-government-is-doing/areas-of-work/waste/waste-disposal-levy/expansion/#timeline-for-the-increase-and-expansion-of-the-waste-levy" TargetMode="External"/><Relationship Id="rId20" Type="http://schemas.openxmlformats.org/officeDocument/2006/relationships/hyperlink" Target="https://www.yourhome.gov.au/materials/embodied-energy" TargetMode="External"/><Relationship Id="rId22" Type="http://schemas.openxmlformats.org/officeDocument/2006/relationships/hyperlink" Target="https://www.mdpi.com/2571-9408/8/8/312" TargetMode="External"/><Relationship Id="rId21" Type="http://schemas.openxmlformats.org/officeDocument/2006/relationships/hyperlink" Target="https://doi.org/10.1080/00038628.2013.819556" TargetMode="External"/><Relationship Id="rId24" Type="http://schemas.openxmlformats.org/officeDocument/2006/relationships/hyperlink" Target="https://doi.org/10.5772/intechopen.110280" TargetMode="External"/><Relationship Id="rId23" Type="http://schemas.openxmlformats.org/officeDocument/2006/relationships/hyperlink" Target="https://doi.org/10.1177/87552930221082684" TargetMode="External"/><Relationship Id="rId26" Type="http://schemas.openxmlformats.org/officeDocument/2006/relationships/hyperlink" Target="https://doi.org/10.1080/27658511.2024.2375439" TargetMode="External"/><Relationship Id="rId25" Type="http://schemas.openxmlformats.org/officeDocument/2006/relationships/hyperlink" Target="https://www.mdpi.com/2076-3263/8/10/370" TargetMode="External"/><Relationship Id="rId28" Type="http://schemas.openxmlformats.org/officeDocument/2006/relationships/hyperlink" Target="https://doi.org/10.1016/j.resconrec.2017.07.034" TargetMode="External"/><Relationship Id="rId27" Type="http://schemas.openxmlformats.org/officeDocument/2006/relationships/hyperlink" Target="https://doi.org/10.1080/09613210601068161" TargetMode="External"/><Relationship Id="rId29" Type="http://schemas.openxmlformats.org/officeDocument/2006/relationships/hyperlink" Target="https://doi.org/10.1016/j.jclepro.2020.121265" TargetMode="External"/><Relationship Id="rId51" Type="http://schemas.openxmlformats.org/officeDocument/2006/relationships/hyperlink" Target="https://doi.org/10.1186/s40494-023-00902-x" TargetMode="External"/><Relationship Id="rId50" Type="http://schemas.openxmlformats.org/officeDocument/2006/relationships/hyperlink" Target="https://doi.org/10.1088/1755-1315/329/1/012002" TargetMode="External"/><Relationship Id="rId52" Type="http://schemas.openxmlformats.org/officeDocument/2006/relationships/footer" Target="footer1.xml"/><Relationship Id="rId11" Type="http://schemas.openxmlformats.org/officeDocument/2006/relationships/hyperlink" Target="https://doi.org/https://doi.org/10.1016/j.cities.2020.102756" TargetMode="External"/><Relationship Id="rId10" Type="http://schemas.openxmlformats.org/officeDocument/2006/relationships/hyperlink" Target="https://doi.org/10.1016/j.jrurstud.2021.08.024" TargetMode="External"/><Relationship Id="rId13" Type="http://schemas.openxmlformats.org/officeDocument/2006/relationships/hyperlink" Target="https://doi.org/10.1007/978-3-031-73490-8_11" TargetMode="External"/><Relationship Id="rId12" Type="http://schemas.openxmlformats.org/officeDocument/2006/relationships/hyperlink" Target="https://doi.org/10.1108/SASBE-08-2021-0139" TargetMode="External"/><Relationship Id="rId15" Type="http://schemas.openxmlformats.org/officeDocument/2006/relationships/hyperlink" Target="https://doi.org/https://doi.org/10.1016/j.landusepol.2020.105042" TargetMode="External"/><Relationship Id="rId14" Type="http://schemas.openxmlformats.org/officeDocument/2006/relationships/hyperlink" Target="https://doi.org/10.3389/frsc.2023.985656" TargetMode="External"/><Relationship Id="rId17" Type="http://schemas.openxmlformats.org/officeDocument/2006/relationships/hyperlink" Target="https://doi.org/https://doi.org/10.1016/j.enbuild.2016.06.089" TargetMode="External"/><Relationship Id="rId16" Type="http://schemas.openxmlformats.org/officeDocument/2006/relationships/hyperlink" Target="https://doi.org/https://doi.org/10.1016/j.cities.2009.12.005" TargetMode="External"/><Relationship Id="rId19" Type="http://schemas.openxmlformats.org/officeDocument/2006/relationships/hyperlink" Target="https://www.mdpi.com/2673-8945/2/4/35" TargetMode="External"/><Relationship Id="rId18" Type="http://schemas.openxmlformats.org/officeDocument/2006/relationships/hyperlink" Target="https://doi.org/https://doi.org/10.1016/j.jclepro.2020.12093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jrNo+we3tYI+uUFKbDg0qojmTQ==">CgMxLjAyDWgucTk5bGJhdDFuM3YyDmguZTRqZnQ1cGIyeG5uMg5oLnlueW93MnhxbGI3bjgAciExcEk5THBldjRrSVd4alhSdHVybnV5NUR1NmEyby1EOVA=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1ed3e25c-8835-49a4-adcd-03846ab7756d</vt:lpwstr>
  </property>
</Properties>
</file>